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AD" w:rsidRPr="00BA4EAD" w:rsidRDefault="00BA4EAD" w:rsidP="00BA4EAD">
      <w:pPr>
        <w:spacing w:after="0" w:line="360" w:lineRule="auto"/>
        <w:jc w:val="center"/>
        <w:rPr>
          <w:rFonts w:ascii="Times New Roman" w:hAnsi="Times New Roman" w:cs="Times New Roman"/>
          <w:b/>
          <w:bCs/>
          <w:lang w:val="en-US"/>
        </w:rPr>
      </w:pPr>
      <w:bookmarkStart w:id="0" w:name="_GoBack"/>
      <w:bookmarkEnd w:id="0"/>
      <w:r w:rsidRPr="00BA4EAD">
        <w:rPr>
          <w:rFonts w:ascii="Times New Roman" w:hAnsi="Times New Roman" w:cs="Times New Roman"/>
          <w:b/>
          <w:bCs/>
          <w:lang w:val="en-US"/>
        </w:rPr>
        <w:t>FRBM ON ECONOMIC AND SOCIAL EXPENDITURE OF KERALA</w:t>
      </w:r>
    </w:p>
    <w:p w:rsidR="00E11E1E" w:rsidRDefault="00E11E1E" w:rsidP="000E4885">
      <w:pPr>
        <w:spacing w:after="0" w:line="360" w:lineRule="auto"/>
        <w:jc w:val="center"/>
        <w:rPr>
          <w:rFonts w:ascii="Times New Roman" w:hAnsi="Times New Roman" w:cs="Times New Roman"/>
          <w:b/>
          <w:sz w:val="28"/>
          <w:szCs w:val="28"/>
        </w:rPr>
      </w:pPr>
    </w:p>
    <w:p w:rsidR="00134087" w:rsidRPr="00134087" w:rsidRDefault="00BA4EAD" w:rsidP="00134087">
      <w:pPr>
        <w:spacing w:after="0" w:line="360" w:lineRule="auto"/>
        <w:jc w:val="center"/>
        <w:rPr>
          <w:rFonts w:ascii="Times New Roman" w:hAnsi="Times New Roman" w:cs="Times New Roman"/>
          <w:b/>
          <w:bCs/>
          <w:lang w:val="en-US"/>
        </w:rPr>
      </w:pPr>
      <w:r>
        <w:rPr>
          <w:rFonts w:ascii="Times New Roman" w:hAnsi="Times New Roman"/>
          <w:b/>
        </w:rPr>
        <w:t xml:space="preserve">Prof. Francis </w:t>
      </w:r>
      <w:proofErr w:type="spellStart"/>
      <w:r>
        <w:rPr>
          <w:rFonts w:ascii="Times New Roman" w:hAnsi="Times New Roman"/>
          <w:b/>
        </w:rPr>
        <w:t>Assissi</w:t>
      </w:r>
      <w:proofErr w:type="spellEnd"/>
      <w:r w:rsidR="00134087">
        <w:rPr>
          <w:rFonts w:ascii="Times New Roman" w:hAnsi="Times New Roman" w:cs="Times New Roman"/>
          <w:b/>
          <w:bCs/>
          <w:lang w:val="en-US"/>
        </w:rPr>
        <w:t xml:space="preserve"> </w:t>
      </w:r>
    </w:p>
    <w:p w:rsidR="005F73BD" w:rsidRPr="005F73BD" w:rsidRDefault="00BA4EAD" w:rsidP="005F73BD">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Economics, St. Paul’s College, </w:t>
      </w:r>
      <w:proofErr w:type="spellStart"/>
      <w:r>
        <w:rPr>
          <w:rFonts w:ascii="Times New Roman" w:hAnsi="Times New Roman" w:cs="Times New Roman"/>
          <w:sz w:val="20"/>
          <w:szCs w:val="20"/>
          <w:lang w:val="en-US"/>
        </w:rPr>
        <w:t>Kalamassery</w:t>
      </w:r>
      <w:proofErr w:type="spellEnd"/>
    </w:p>
    <w:p w:rsidR="00F41570" w:rsidRPr="00E11E1E" w:rsidRDefault="00F41570" w:rsidP="00E11E1E">
      <w:pPr>
        <w:spacing w:after="0" w:line="360" w:lineRule="auto"/>
        <w:jc w:val="center"/>
        <w:rPr>
          <w:rFonts w:ascii="Times New Roman" w:hAnsi="Times New Roman" w:cs="Times New Roman"/>
          <w:b/>
          <w:sz w:val="20"/>
          <w:szCs w:val="20"/>
        </w:rPr>
      </w:pPr>
    </w:p>
    <w:p w:rsidR="000E4885" w:rsidRDefault="00027409" w:rsidP="00134087">
      <w:pPr>
        <w:spacing w:after="120" w:line="360" w:lineRule="auto"/>
        <w:jc w:val="center"/>
        <w:rPr>
          <w:rFonts w:ascii="Times New Roman" w:hAnsi="Times New Roman" w:cs="Times New Roman"/>
          <w:b/>
        </w:rPr>
      </w:pPr>
      <w:r>
        <w:rPr>
          <w:rFonts w:ascii="Times New Roman" w:hAnsi="Times New Roman" w:cs="Times New Roman"/>
          <w:b/>
        </w:rPr>
        <w:t>Abstract</w:t>
      </w:r>
    </w:p>
    <w:p w:rsidR="00BA4EAD" w:rsidRPr="00BA4EAD" w:rsidRDefault="00BA4EAD" w:rsidP="00BA4EAD">
      <w:pPr>
        <w:spacing w:after="120" w:line="360" w:lineRule="auto"/>
        <w:jc w:val="both"/>
        <w:rPr>
          <w:rFonts w:ascii="Times New Roman" w:hAnsi="Times New Roman" w:cs="Times New Roman"/>
          <w:i/>
          <w:lang w:val="en-US"/>
        </w:rPr>
      </w:pPr>
      <w:r w:rsidRPr="00BA4EAD">
        <w:rPr>
          <w:rFonts w:ascii="Times New Roman" w:hAnsi="Times New Roman" w:cs="Times New Roman"/>
          <w:i/>
          <w:lang w:val="en-US"/>
        </w:rPr>
        <w:t xml:space="preserve">FRA was enacted in a situation in which the revenue and fiscal deficits of the states increased beyond limits and there was a need for a strong step from the </w:t>
      </w:r>
      <w:proofErr w:type="spellStart"/>
      <w:r w:rsidRPr="00BA4EAD">
        <w:rPr>
          <w:rFonts w:ascii="Times New Roman" w:hAnsi="Times New Roman" w:cs="Times New Roman"/>
          <w:i/>
          <w:lang w:val="en-US"/>
        </w:rPr>
        <w:t>centre</w:t>
      </w:r>
      <w:proofErr w:type="spellEnd"/>
      <w:r w:rsidRPr="00BA4EAD">
        <w:rPr>
          <w:rFonts w:ascii="Times New Roman" w:hAnsi="Times New Roman" w:cs="Times New Roman"/>
          <w:i/>
          <w:lang w:val="en-US"/>
        </w:rPr>
        <w:t xml:space="preserve"> to control the states from growing revenue and fiscal deficits. Finance commission’s criteria for transfer is also based on the performance of the states in achieving the targets set by the FRA and almost all the states strived towards the achievement of the targets. In this context the study basically focused on examining the trends of fiscal stability in Kerala before and after the enactment of FRA and understanding the impact of FRA target on the development expenditure of Kerala. </w:t>
      </w:r>
    </w:p>
    <w:p w:rsidR="00BA4EAD" w:rsidRPr="00BC5A76" w:rsidRDefault="00BA4EAD" w:rsidP="00BA4EAD">
      <w:pPr>
        <w:spacing w:after="120" w:line="360" w:lineRule="auto"/>
        <w:jc w:val="both"/>
        <w:rPr>
          <w:rFonts w:ascii="Times New Roman" w:hAnsi="Times New Roman" w:cs="Times New Roman"/>
        </w:rPr>
      </w:pPr>
      <w:r w:rsidRPr="00BC5A76">
        <w:rPr>
          <w:rFonts w:ascii="Times New Roman" w:hAnsi="Times New Roman" w:cs="Times New Roman"/>
        </w:rPr>
        <w:t xml:space="preserve">After 1990s almost all the states in India faced persistent fiscal crisis that they incurred more expenditure than they mobilized. This was aggravated by fall in central transfers as the Union government was experiencing not a different situation due to payments on high cost borrowing and on the other hand revenue growth remained sluggish due to decline in own tax revenue. This tenacious fiscal imbalance necessitated fiscal reforms and the Twelfth Finance Commission was asked to review the fiancés of the states and suggest fiscal restructuring measures in the face of deteriorating fiscal situation of the states. </w:t>
      </w:r>
      <w:r w:rsidRPr="00BC5A76">
        <w:rPr>
          <w:rFonts w:ascii="Times New Roman" w:hAnsi="Times New Roman" w:cs="Times New Roman"/>
          <w:shd w:val="clear" w:color="auto" w:fill="FFFFFF"/>
        </w:rPr>
        <w:t xml:space="preserve">The Twelfth Finance Commission </w:t>
      </w:r>
      <w:r w:rsidRPr="00BC5A76">
        <w:rPr>
          <w:rFonts w:ascii="Times New Roman" w:hAnsi="Times New Roman" w:cs="Times New Roman"/>
          <w:shd w:val="clear" w:color="auto" w:fill="FFFFFF"/>
        </w:rPr>
        <w:lastRenderedPageBreak/>
        <w:t>recommended enactment of Fiscal Responsibility and Budget Management Act (FRBM) at the Centre and the States. Along with this the efficiency factors such as tax effort and expenditure disciplines have been given higher weights in the distribution formula by the Finance Commission. As a result of these pressures there is considerable decline in both fiscal and revenue deficits among the states. The fiscal and revenue deficits of Kerala also showed a similar trend</w:t>
      </w:r>
      <w:r>
        <w:rPr>
          <w:rFonts w:ascii="Times New Roman" w:hAnsi="Times New Roman" w:cs="Times New Roman"/>
          <w:shd w:val="clear" w:color="auto" w:fill="FFFFFF"/>
        </w:rPr>
        <w:t xml:space="preserve"> during the period and declined.</w:t>
      </w:r>
      <w:r>
        <w:rPr>
          <w:rFonts w:ascii="Times New Roman" w:hAnsi="Times New Roman" w:cs="Times New Roman"/>
        </w:rPr>
        <w:t xml:space="preserve"> In this context this work strives to find out the ways through which state reduced its deficit indicators after FRA and analyse the impact of fiscal management on development expenditures of the states</w:t>
      </w:r>
    </w:p>
    <w:p w:rsidR="00BA4EAD" w:rsidRDefault="00BA4EAD" w:rsidP="00BA4EAD">
      <w:pPr>
        <w:tabs>
          <w:tab w:val="left" w:pos="709"/>
        </w:tabs>
        <w:suppressAutoHyphens/>
        <w:spacing w:after="120" w:line="360" w:lineRule="auto"/>
        <w:jc w:val="both"/>
        <w:rPr>
          <w:rFonts w:ascii="Times New Roman" w:hAnsi="Times New Roman" w:cs="Times New Roman"/>
        </w:rPr>
      </w:pPr>
      <w:r w:rsidRPr="00736C7D">
        <w:rPr>
          <w:rFonts w:ascii="Times New Roman" w:hAnsi="Times New Roman" w:cs="Times New Roman"/>
        </w:rPr>
        <w:t>Since there are alternative ways of achieving fiscal adjustment and each of them has a different impact on the economy of the state, this issue has some economic importance.</w:t>
      </w:r>
      <w:r>
        <w:rPr>
          <w:rFonts w:ascii="Times New Roman" w:hAnsi="Times New Roman" w:cs="Times New Roman"/>
        </w:rPr>
        <w:t xml:space="preserve"> </w:t>
      </w:r>
      <w:r w:rsidRPr="00736C7D">
        <w:rPr>
          <w:rFonts w:ascii="Times New Roman" w:hAnsi="Times New Roman" w:cs="Times New Roman"/>
        </w:rPr>
        <w:t>Tapas K. Sen. et al (2003) examined the degree of success of the states in achieving the targets in the last decade</w:t>
      </w:r>
      <w:r>
        <w:rPr>
          <w:rFonts w:ascii="Times New Roman" w:hAnsi="Times New Roman" w:cs="Times New Roman"/>
        </w:rPr>
        <w:t xml:space="preserve">. </w:t>
      </w:r>
      <w:r w:rsidRPr="00736C7D">
        <w:rPr>
          <w:rFonts w:ascii="Times New Roman" w:hAnsi="Times New Roman" w:cs="Times New Roman"/>
        </w:rPr>
        <w:t xml:space="preserve">The study gave more importance to the route through which fiscal adjustments were achieved </w:t>
      </w:r>
      <w:r>
        <w:rPr>
          <w:rFonts w:ascii="Times New Roman" w:hAnsi="Times New Roman" w:cs="Times New Roman"/>
        </w:rPr>
        <w:t xml:space="preserve">and noted that it was easy for states to cut development expenditure than any other </w:t>
      </w:r>
      <w:proofErr w:type="spellStart"/>
      <w:r>
        <w:rPr>
          <w:rFonts w:ascii="Times New Roman" w:hAnsi="Times New Roman" w:cs="Times New Roman"/>
        </w:rPr>
        <w:t>expenditure.Ashok</w:t>
      </w:r>
      <w:proofErr w:type="spellEnd"/>
      <w:r>
        <w:rPr>
          <w:rFonts w:ascii="Times New Roman" w:hAnsi="Times New Roman" w:cs="Times New Roman"/>
        </w:rPr>
        <w:t xml:space="preserve"> K. </w:t>
      </w:r>
      <w:proofErr w:type="spellStart"/>
      <w:r>
        <w:rPr>
          <w:rFonts w:ascii="Times New Roman" w:hAnsi="Times New Roman" w:cs="Times New Roman"/>
        </w:rPr>
        <w:t>Lahiri</w:t>
      </w:r>
      <w:proofErr w:type="spellEnd"/>
      <w:r>
        <w:rPr>
          <w:rFonts w:ascii="Times New Roman" w:hAnsi="Times New Roman" w:cs="Times New Roman"/>
        </w:rPr>
        <w:t xml:space="preserve"> (2000) opines that i</w:t>
      </w:r>
      <w:r w:rsidRPr="00736C7D">
        <w:rPr>
          <w:rFonts w:ascii="Times New Roman" w:hAnsi="Times New Roman" w:cs="Times New Roman"/>
        </w:rPr>
        <w:t>t is imperative to effect a fiscal correction and safeguard developmental expenditure at the state level</w:t>
      </w:r>
      <w:r>
        <w:rPr>
          <w:rFonts w:ascii="Times New Roman" w:hAnsi="Times New Roman" w:cs="Times New Roman"/>
        </w:rPr>
        <w:t xml:space="preserve">. This work therefore, gives due importance to access the impact of FRA on development expenditure. </w:t>
      </w:r>
    </w:p>
    <w:p w:rsidR="00BA4EAD" w:rsidRDefault="00BA4EAD" w:rsidP="00BA4EAD">
      <w:pPr>
        <w:spacing w:after="120" w:line="360" w:lineRule="auto"/>
        <w:jc w:val="both"/>
        <w:rPr>
          <w:rFonts w:ascii="Times New Roman" w:hAnsi="Times New Roman" w:cs="Times New Roman"/>
          <w:szCs w:val="32"/>
        </w:rPr>
      </w:pPr>
      <w:r>
        <w:rPr>
          <w:rFonts w:ascii="Times New Roman" w:hAnsi="Times New Roman" w:cs="Times New Roman"/>
          <w:szCs w:val="32"/>
        </w:rPr>
        <w:t>The</w:t>
      </w:r>
      <w:r w:rsidRPr="00D61328">
        <w:rPr>
          <w:rFonts w:ascii="Times New Roman" w:hAnsi="Times New Roman" w:cs="Times New Roman"/>
          <w:szCs w:val="32"/>
        </w:rPr>
        <w:t xml:space="preserve"> FRA targets can be achieved either by increasing own tax</w:t>
      </w:r>
      <w:r>
        <w:rPr>
          <w:rFonts w:ascii="Times New Roman" w:hAnsi="Times New Roman" w:cs="Times New Roman"/>
          <w:szCs w:val="32"/>
        </w:rPr>
        <w:t xml:space="preserve"> revenue or by reducing the non-</w:t>
      </w:r>
      <w:r w:rsidRPr="00D61328">
        <w:rPr>
          <w:rFonts w:ascii="Times New Roman" w:hAnsi="Times New Roman" w:cs="Times New Roman"/>
          <w:szCs w:val="32"/>
        </w:rPr>
        <w:t xml:space="preserve">developmental and developmental expenditure or with an increase in the transfer from the centre. We can say that achieving the targets by increasing tax revenue and reducing </w:t>
      </w:r>
      <w:r>
        <w:rPr>
          <w:rFonts w:ascii="Times New Roman" w:hAnsi="Times New Roman" w:cs="Times New Roman"/>
          <w:szCs w:val="32"/>
        </w:rPr>
        <w:t>non-</w:t>
      </w:r>
      <w:r w:rsidRPr="00D61328">
        <w:rPr>
          <w:rFonts w:ascii="Times New Roman" w:hAnsi="Times New Roman" w:cs="Times New Roman"/>
          <w:szCs w:val="32"/>
        </w:rPr>
        <w:t>development</w:t>
      </w:r>
      <w:r>
        <w:rPr>
          <w:rFonts w:ascii="Times New Roman" w:hAnsi="Times New Roman" w:cs="Times New Roman"/>
          <w:szCs w:val="32"/>
        </w:rPr>
        <w:t xml:space="preserve"> </w:t>
      </w:r>
      <w:r>
        <w:rPr>
          <w:rFonts w:ascii="Times New Roman" w:hAnsi="Times New Roman" w:cs="Times New Roman"/>
          <w:szCs w:val="32"/>
        </w:rPr>
        <w:lastRenderedPageBreak/>
        <w:t xml:space="preserve">expenditure is desirable or this </w:t>
      </w:r>
      <w:r w:rsidRPr="00D61328">
        <w:rPr>
          <w:rFonts w:ascii="Times New Roman" w:hAnsi="Times New Roman" w:cs="Times New Roman"/>
          <w:szCs w:val="32"/>
        </w:rPr>
        <w:t>method</w:t>
      </w:r>
      <w:r>
        <w:rPr>
          <w:rFonts w:ascii="Times New Roman" w:hAnsi="Times New Roman" w:cs="Times New Roman"/>
          <w:szCs w:val="32"/>
        </w:rPr>
        <w:t xml:space="preserve"> of</w:t>
      </w:r>
      <w:r w:rsidRPr="00D61328">
        <w:rPr>
          <w:rFonts w:ascii="Times New Roman" w:hAnsi="Times New Roman" w:cs="Times New Roman"/>
          <w:szCs w:val="32"/>
        </w:rPr>
        <w:t xml:space="preserve"> finance is prudent. But, achieving fiscal target by reducing development expenditure is an issue to be addressed.</w:t>
      </w:r>
      <w:r>
        <w:rPr>
          <w:rFonts w:ascii="Times New Roman" w:hAnsi="Times New Roman" w:cs="Times New Roman"/>
          <w:szCs w:val="32"/>
        </w:rPr>
        <w:t xml:space="preserve"> Before going through a detailed analysis of on development expenditure, a general trend of fiscal indicators are traced by analysing the trend of Revenue Deficit, Fiscal deficit and development expenditure of Kerala.</w:t>
      </w:r>
    </w:p>
    <w:p w:rsidR="00BA4EAD" w:rsidRDefault="00BA4EAD" w:rsidP="00BA4EAD">
      <w:pPr>
        <w:spacing w:after="120" w:line="360" w:lineRule="auto"/>
        <w:jc w:val="both"/>
        <w:rPr>
          <w:rFonts w:ascii="Times New Roman" w:hAnsi="Times New Roman" w:cs="Times New Roman"/>
        </w:rPr>
      </w:pPr>
      <w:r>
        <w:rPr>
          <w:rFonts w:ascii="Times New Roman" w:hAnsi="Times New Roman" w:cs="Times New Roman"/>
          <w:szCs w:val="32"/>
        </w:rPr>
        <w:t>Development expenditure incurred today will certainly have some effects on the performance of the economy in the future. A reduction in liabilities shows the strength of the economy in terms of its affordability for more borrowings and an increase in development expenditure of the economy shows the fiscal prudence of the economy (</w:t>
      </w:r>
      <w:proofErr w:type="spellStart"/>
      <w:r w:rsidRPr="00DD7D0D">
        <w:rPr>
          <w:rFonts w:ascii="Times New Roman" w:hAnsi="Times New Roman" w:cs="Times New Roman"/>
        </w:rPr>
        <w:t>Pinaki</w:t>
      </w:r>
      <w:proofErr w:type="spellEnd"/>
      <w:r>
        <w:rPr>
          <w:rFonts w:ascii="Times New Roman" w:hAnsi="Times New Roman" w:cs="Times New Roman"/>
        </w:rPr>
        <w:t xml:space="preserve"> </w:t>
      </w:r>
      <w:proofErr w:type="spellStart"/>
      <w:r w:rsidRPr="00DD7D0D">
        <w:rPr>
          <w:rFonts w:ascii="Times New Roman" w:hAnsi="Times New Roman" w:cs="Times New Roman"/>
        </w:rPr>
        <w:t>Chakraborty</w:t>
      </w:r>
      <w:proofErr w:type="spellEnd"/>
      <w:r>
        <w:rPr>
          <w:rFonts w:ascii="Times New Roman" w:hAnsi="Times New Roman" w:cs="Times New Roman"/>
        </w:rPr>
        <w:t xml:space="preserve"> 2013</w:t>
      </w:r>
      <w:r>
        <w:rPr>
          <w:rFonts w:ascii="Times New Roman" w:hAnsi="Times New Roman" w:cs="Times New Roman"/>
          <w:szCs w:val="32"/>
        </w:rPr>
        <w:t>). Fall in development expenditure has been the prime force since Fiscal Responsibility Act (FRA) which reduced Fiscal and revenue deficits of Kerala. This is evident from the figure (1.1).</w:t>
      </w:r>
      <w:r w:rsidRPr="00464C55">
        <w:rPr>
          <w:rFonts w:ascii="Times New Roman" w:hAnsi="Times New Roman" w:cs="Times New Roman"/>
        </w:rPr>
        <w:t>Comparison of trend</w:t>
      </w:r>
      <w:r>
        <w:rPr>
          <w:rFonts w:ascii="Times New Roman" w:hAnsi="Times New Roman" w:cs="Times New Roman"/>
        </w:rPr>
        <w:t>s</w:t>
      </w:r>
      <w:r w:rsidRPr="00464C55">
        <w:rPr>
          <w:rFonts w:ascii="Times New Roman" w:hAnsi="Times New Roman" w:cs="Times New Roman"/>
        </w:rPr>
        <w:t xml:space="preserve"> in development expenditure with that of revenue and fiscal deficits show</w:t>
      </w:r>
      <w:r>
        <w:rPr>
          <w:rFonts w:ascii="Times New Roman" w:hAnsi="Times New Roman" w:cs="Times New Roman"/>
        </w:rPr>
        <w:t>s</w:t>
      </w:r>
      <w:r w:rsidRPr="00464C55">
        <w:rPr>
          <w:rFonts w:ascii="Times New Roman" w:hAnsi="Times New Roman" w:cs="Times New Roman"/>
        </w:rPr>
        <w:t xml:space="preserve"> that revenue and fiscal deficits follow the same trend as t</w:t>
      </w:r>
      <w:r>
        <w:rPr>
          <w:rFonts w:ascii="Times New Roman" w:hAnsi="Times New Roman" w:cs="Times New Roman"/>
        </w:rPr>
        <w:t xml:space="preserve">hat of development expenditure. </w:t>
      </w:r>
      <w:r w:rsidRPr="00464C55">
        <w:rPr>
          <w:rFonts w:ascii="Times New Roman" w:hAnsi="Times New Roman" w:cs="Times New Roman"/>
        </w:rPr>
        <w:t>Whenever the development expenditure increases</w:t>
      </w:r>
      <w:r>
        <w:rPr>
          <w:rFonts w:ascii="Times New Roman" w:hAnsi="Times New Roman" w:cs="Times New Roman"/>
        </w:rPr>
        <w:t>,</w:t>
      </w:r>
      <w:r w:rsidRPr="00464C55">
        <w:rPr>
          <w:rFonts w:ascii="Times New Roman" w:hAnsi="Times New Roman" w:cs="Times New Roman"/>
        </w:rPr>
        <w:t xml:space="preserve"> both the deficits also increase and decreases when development expenditure decreases. During 1999- 2000 when development expenditure peaked</w:t>
      </w:r>
      <w:r>
        <w:rPr>
          <w:rFonts w:ascii="Times New Roman" w:hAnsi="Times New Roman" w:cs="Times New Roman"/>
        </w:rPr>
        <w:t>,</w:t>
      </w:r>
      <w:r w:rsidRPr="00464C55">
        <w:rPr>
          <w:rFonts w:ascii="Times New Roman" w:hAnsi="Times New Roman" w:cs="Times New Roman"/>
        </w:rPr>
        <w:t xml:space="preserve"> revenue and fiscal deficits also peaked, following a sharp decline during 2001- 02 with a fall in the development expenditure of the state in the same manner.</w:t>
      </w:r>
    </w:p>
    <w:p w:rsidR="00BA4EAD" w:rsidRDefault="00BA4EAD" w:rsidP="00BA4EAD">
      <w:pPr>
        <w:spacing w:before="240" w:line="360" w:lineRule="auto"/>
        <w:ind w:firstLine="720"/>
        <w:jc w:val="both"/>
        <w:rPr>
          <w:rFonts w:ascii="Times New Roman" w:hAnsi="Times New Roman" w:cs="Times New Roman"/>
        </w:rPr>
      </w:pPr>
    </w:p>
    <w:p w:rsidR="00BA4EAD" w:rsidRDefault="00BA4EAD" w:rsidP="00BA4EAD">
      <w:pPr>
        <w:spacing w:before="240" w:line="360" w:lineRule="auto"/>
        <w:ind w:firstLine="720"/>
        <w:jc w:val="both"/>
        <w:rPr>
          <w:rFonts w:ascii="Times New Roman" w:hAnsi="Times New Roman" w:cs="Times New Roman"/>
        </w:rPr>
      </w:pPr>
    </w:p>
    <w:p w:rsidR="00BA4EAD" w:rsidRDefault="00BA4EAD" w:rsidP="00BA4EAD">
      <w:pPr>
        <w:spacing w:before="240" w:line="360" w:lineRule="auto"/>
        <w:ind w:firstLine="720"/>
        <w:jc w:val="both"/>
        <w:rPr>
          <w:rFonts w:ascii="Times New Roman" w:hAnsi="Times New Roman" w:cs="Times New Roman"/>
        </w:rPr>
      </w:pPr>
    </w:p>
    <w:p w:rsidR="00BA4EAD" w:rsidRPr="00BA4EAD" w:rsidRDefault="00BA4EAD" w:rsidP="00BA4EAD">
      <w:pPr>
        <w:spacing w:after="120" w:line="240" w:lineRule="auto"/>
        <w:ind w:firstLine="720"/>
        <w:jc w:val="center"/>
        <w:rPr>
          <w:rFonts w:ascii="Times New Roman" w:hAnsi="Times New Roman" w:cs="Times New Roman"/>
          <w:sz w:val="20"/>
          <w:szCs w:val="20"/>
        </w:rPr>
      </w:pPr>
      <w:r w:rsidRPr="00BA4EAD">
        <w:rPr>
          <w:rFonts w:ascii="Times New Roman" w:hAnsi="Times New Roman" w:cs="Times New Roman"/>
          <w:sz w:val="20"/>
          <w:szCs w:val="20"/>
        </w:rPr>
        <w:t>Figure 1</w:t>
      </w:r>
    </w:p>
    <w:p w:rsidR="00BA4EAD" w:rsidRPr="00BA4EAD" w:rsidRDefault="00BA4EAD" w:rsidP="00BA4EAD">
      <w:pPr>
        <w:spacing w:after="120" w:line="240" w:lineRule="auto"/>
        <w:ind w:firstLine="720"/>
        <w:jc w:val="center"/>
        <w:rPr>
          <w:rFonts w:ascii="Times New Roman" w:hAnsi="Times New Roman" w:cs="Times New Roman"/>
          <w:sz w:val="20"/>
          <w:szCs w:val="20"/>
        </w:rPr>
      </w:pPr>
      <w:r w:rsidRPr="00BA4EAD">
        <w:rPr>
          <w:rFonts w:ascii="Times New Roman" w:hAnsi="Times New Roman" w:cs="Times New Roman"/>
          <w:bCs/>
          <w:sz w:val="20"/>
          <w:szCs w:val="20"/>
        </w:rPr>
        <w:t>Comparing Development Expenditure with RD and FD</w:t>
      </w:r>
    </w:p>
    <w:p w:rsidR="00BA4EAD" w:rsidRPr="00A56990" w:rsidRDefault="00BA4EAD" w:rsidP="005C5EC5">
      <w:pPr>
        <w:spacing w:line="240" w:lineRule="auto"/>
        <w:ind w:left="-450" w:firstLine="450"/>
        <w:rPr>
          <w:rFonts w:ascii="Times New Roman" w:hAnsi="Times New Roman" w:cs="Times New Roman"/>
          <w:sz w:val="32"/>
          <w:szCs w:val="32"/>
        </w:rPr>
      </w:pPr>
      <w:r>
        <w:rPr>
          <w:noProof/>
        </w:rPr>
        <w:drawing>
          <wp:inline distT="0" distB="0" distL="0" distR="0">
            <wp:extent cx="4491990" cy="2918460"/>
            <wp:effectExtent l="19050" t="0" r="2286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EC5" w:rsidRDefault="005C5EC5" w:rsidP="005C5E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4EAD" w:rsidRPr="00D432AF">
        <w:rPr>
          <w:rFonts w:ascii="Times New Roman" w:hAnsi="Times New Roman" w:cs="Times New Roman"/>
          <w:sz w:val="20"/>
          <w:szCs w:val="20"/>
        </w:rPr>
        <w:t xml:space="preserve">Source: Handbook of Statistics on States Finance, Stud y of States Budget by RBI </w:t>
      </w:r>
    </w:p>
    <w:p w:rsidR="00BA4EAD" w:rsidRDefault="005C5EC5" w:rsidP="005C5EC5">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A4EAD" w:rsidRPr="00D432AF">
        <w:rPr>
          <w:rFonts w:ascii="Times New Roman" w:hAnsi="Times New Roman" w:cs="Times New Roman"/>
          <w:sz w:val="20"/>
          <w:szCs w:val="20"/>
        </w:rPr>
        <w:t>and</w:t>
      </w:r>
      <w:proofErr w:type="gramEnd"/>
      <w:r w:rsidR="00BA4EAD" w:rsidRPr="00D432AF">
        <w:rPr>
          <w:rFonts w:ascii="Times New Roman" w:hAnsi="Times New Roman" w:cs="Times New Roman"/>
          <w:sz w:val="20"/>
          <w:szCs w:val="20"/>
        </w:rPr>
        <w:t xml:space="preserve"> National Account statistics.</w:t>
      </w:r>
    </w:p>
    <w:p w:rsidR="005C5EC5" w:rsidRPr="005C5EC5" w:rsidRDefault="005C5EC5" w:rsidP="005C5EC5">
      <w:pPr>
        <w:spacing w:after="120" w:line="240" w:lineRule="auto"/>
        <w:rPr>
          <w:rFonts w:ascii="Times New Roman" w:hAnsi="Times New Roman" w:cs="Times New Roman"/>
          <w:sz w:val="20"/>
          <w:szCs w:val="20"/>
        </w:rPr>
      </w:pPr>
    </w:p>
    <w:p w:rsidR="00BA4EAD" w:rsidRPr="00E94784" w:rsidRDefault="00BA4EAD" w:rsidP="005C5EC5">
      <w:pPr>
        <w:spacing w:after="120" w:line="360" w:lineRule="auto"/>
        <w:jc w:val="both"/>
        <w:rPr>
          <w:rFonts w:ascii="Times New Roman" w:hAnsi="Times New Roman" w:cs="Times New Roman"/>
        </w:rPr>
      </w:pPr>
      <w:r w:rsidRPr="00AF22EC">
        <w:rPr>
          <w:rFonts w:ascii="Times New Roman" w:hAnsi="Times New Roman" w:cs="Times New Roman"/>
        </w:rPr>
        <w:t>Expenditure on education, Sports, arts and culture experience a declining trend over the entire period of analysis except 1996-99</w:t>
      </w:r>
      <w:r w:rsidRPr="005C5EC5">
        <w:rPr>
          <w:rFonts w:ascii="Times New Roman" w:hAnsi="Times New Roman" w:cs="Times New Roman"/>
        </w:rPr>
        <w:t>(</w:t>
      </w:r>
      <w:r w:rsidR="005C5EC5">
        <w:rPr>
          <w:rFonts w:ascii="Times New Roman" w:hAnsi="Times New Roman" w:cs="Times New Roman"/>
        </w:rPr>
        <w:t>Table1.1</w:t>
      </w:r>
      <w:r w:rsidRPr="005C5EC5">
        <w:rPr>
          <w:rFonts w:ascii="Times New Roman" w:hAnsi="Times New Roman" w:cs="Times New Roman"/>
        </w:rPr>
        <w:t>).</w:t>
      </w:r>
      <w:r w:rsidRPr="00AF22EC">
        <w:rPr>
          <w:rFonts w:ascii="Times New Roman" w:hAnsi="Times New Roman" w:cs="Times New Roman"/>
        </w:rPr>
        <w:t xml:space="preserve"> Medical and public health expenditure either decreased or almost remained stagnant over the periods of analysis. From 1.0 per cent during 1990- 93 periods, it decreased to 0.6 per cent during 2005- 08 periods and increased by 0.1 per cent and reached 0.7 per cent during 2011- 13 periods. Expenditure on water supply and sanitation was 0.3 per cent of the GSDP and remained completely stagnant until 2002- 05 periods and subsequently declined to 0.1 per cent during 2011- 13 periods. Another important threat </w:t>
      </w:r>
      <w:r w:rsidRPr="00AF22EC">
        <w:rPr>
          <w:rFonts w:ascii="Times New Roman" w:hAnsi="Times New Roman" w:cs="Times New Roman"/>
        </w:rPr>
        <w:lastRenderedPageBreak/>
        <w:t>has been on the Expenditure on welfare of SC, ST and OBC which remained stagnant and further decreased to 0.2 per cent of the GSDP during 2005- 08 periods from 0.3 per cent during 1990- 93 periods. Social security and welfare expenditure also showed a decreasing trend during the same period. The Social security and welfare expenditure increased to 0.3 per cent during 2005- 08 periods from 0.2 per cent during 1990- 93 periods and again increased to 0.4 per cent during 2011- 13 periods.</w:t>
      </w:r>
    </w:p>
    <w:p w:rsidR="005C5EC5" w:rsidRPr="005C5EC5" w:rsidRDefault="005C5EC5" w:rsidP="00BA4EAD">
      <w:pPr>
        <w:spacing w:after="0" w:line="360" w:lineRule="auto"/>
        <w:jc w:val="center"/>
        <w:rPr>
          <w:rFonts w:ascii="Times New Roman" w:hAnsi="Times New Roman" w:cs="Times New Roman"/>
          <w:sz w:val="20"/>
          <w:szCs w:val="20"/>
        </w:rPr>
      </w:pPr>
      <w:r w:rsidRPr="005C5EC5">
        <w:rPr>
          <w:rFonts w:ascii="Times New Roman" w:hAnsi="Times New Roman" w:cs="Times New Roman"/>
          <w:sz w:val="20"/>
          <w:szCs w:val="20"/>
        </w:rPr>
        <w:t>Table 1.1</w:t>
      </w:r>
    </w:p>
    <w:p w:rsidR="00BA4EAD" w:rsidRPr="005C5EC5" w:rsidRDefault="00BA4EAD" w:rsidP="00BA4EAD">
      <w:pPr>
        <w:spacing w:after="0" w:line="360" w:lineRule="auto"/>
        <w:jc w:val="center"/>
        <w:rPr>
          <w:rFonts w:ascii="Times New Roman" w:hAnsi="Times New Roman" w:cs="Times New Roman"/>
          <w:sz w:val="20"/>
          <w:szCs w:val="20"/>
        </w:rPr>
      </w:pPr>
      <w:r w:rsidRPr="005C5EC5">
        <w:rPr>
          <w:rFonts w:ascii="Times New Roman" w:hAnsi="Times New Roman" w:cs="Times New Roman"/>
          <w:sz w:val="20"/>
          <w:szCs w:val="20"/>
        </w:rPr>
        <w:t>Expenditure on Social Services</w:t>
      </w:r>
    </w:p>
    <w:tbl>
      <w:tblPr>
        <w:tblStyle w:val="TableGrid"/>
        <w:tblW w:w="7566" w:type="dxa"/>
        <w:tblLook w:val="04A0" w:firstRow="1" w:lastRow="0" w:firstColumn="1" w:lastColumn="0" w:noHBand="0" w:noVBand="1"/>
      </w:tblPr>
      <w:tblGrid>
        <w:gridCol w:w="975"/>
        <w:gridCol w:w="977"/>
        <w:gridCol w:w="1333"/>
        <w:gridCol w:w="1100"/>
        <w:gridCol w:w="1135"/>
        <w:gridCol w:w="1101"/>
        <w:gridCol w:w="945"/>
      </w:tblGrid>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Year</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(a)Social Services (1 to 5)</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1.Education, Sports, Art and Culture</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2.Medical and Public Health</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3.Water Supply and Sanitation</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4.Welfare of  SC,ST and OBC</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5.Social Security and Welfare</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1990-93</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5.8</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3.6</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1</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1993-96</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5.5</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3.5</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0.9</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1996-99</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5.2</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0.7</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0.4</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r>
      <w:tr w:rsidR="00BA4EAD" w:rsidRPr="005C5EC5" w:rsidTr="005C5EC5">
        <w:trPr>
          <w:trHeight w:val="218"/>
        </w:trPr>
        <w:tc>
          <w:tcPr>
            <w:tcW w:w="975" w:type="dxa"/>
            <w:noWrap/>
            <w:vAlign w:val="center"/>
            <w:hideMark/>
          </w:tcPr>
          <w:p w:rsidR="00BA4EAD" w:rsidRPr="005C5EC5" w:rsidRDefault="005C5EC5" w:rsidP="005C5EC5">
            <w:pPr>
              <w:spacing w:after="0" w:line="240" w:lineRule="auto"/>
              <w:jc w:val="center"/>
              <w:rPr>
                <w:rFonts w:ascii="Times New Roman" w:hAnsi="Times New Roman" w:cs="Times New Roman"/>
                <w:b/>
                <w:color w:val="000000"/>
                <w:sz w:val="20"/>
                <w:szCs w:val="20"/>
              </w:rPr>
            </w:pPr>
            <w:r>
              <w:rPr>
                <w:rFonts w:ascii="Times New Roman" w:hAnsi="Times New Roman" w:cs="Times New Roman"/>
                <w:color w:val="000000"/>
                <w:sz w:val="20"/>
                <w:szCs w:val="20"/>
              </w:rPr>
              <w:t>1999-</w:t>
            </w:r>
            <w:r w:rsidR="00BA4EAD" w:rsidRPr="005C5EC5">
              <w:rPr>
                <w:rFonts w:ascii="Times New Roman" w:hAnsi="Times New Roman" w:cs="Times New Roman"/>
                <w:color w:val="000000"/>
                <w:sz w:val="20"/>
                <w:szCs w:val="20"/>
              </w:rPr>
              <w:t>02</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5.3</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3.3</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0.8</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2002-05</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5.1</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3</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0.7</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2005-08</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4.3</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2.5</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0.6</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0.1</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r>
      <w:tr w:rsidR="00BA4EAD" w:rsidRPr="005C5EC5" w:rsidTr="005C5EC5">
        <w:trPr>
          <w:trHeight w:val="21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2008-11</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4.9</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2.7</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0.7</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0.3</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0.4</w:t>
            </w:r>
          </w:p>
        </w:tc>
      </w:tr>
      <w:tr w:rsidR="00BA4EAD" w:rsidRPr="005C5EC5" w:rsidTr="005C5EC5">
        <w:trPr>
          <w:trHeight w:val="58"/>
        </w:trPr>
        <w:tc>
          <w:tcPr>
            <w:tcW w:w="975" w:type="dxa"/>
            <w:noWrap/>
            <w:vAlign w:val="center"/>
            <w:hideMark/>
          </w:tcPr>
          <w:p w:rsidR="00BA4EAD" w:rsidRPr="005C5EC5" w:rsidRDefault="00BA4EAD" w:rsidP="005C5EC5">
            <w:pPr>
              <w:spacing w:after="0" w:line="240" w:lineRule="auto"/>
              <w:jc w:val="center"/>
              <w:rPr>
                <w:rFonts w:ascii="Times New Roman" w:hAnsi="Times New Roman" w:cs="Times New Roman"/>
                <w:b/>
                <w:color w:val="000000"/>
                <w:sz w:val="20"/>
                <w:szCs w:val="20"/>
              </w:rPr>
            </w:pPr>
            <w:r w:rsidRPr="005C5EC5">
              <w:rPr>
                <w:rFonts w:ascii="Times New Roman" w:hAnsi="Times New Roman" w:cs="Times New Roman"/>
                <w:color w:val="000000"/>
                <w:sz w:val="20"/>
                <w:szCs w:val="20"/>
              </w:rPr>
              <w:t>2011-13</w:t>
            </w:r>
          </w:p>
        </w:tc>
        <w:tc>
          <w:tcPr>
            <w:tcW w:w="977"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4.2</w:t>
            </w:r>
          </w:p>
        </w:tc>
        <w:tc>
          <w:tcPr>
            <w:tcW w:w="1333"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2.6</w:t>
            </w:r>
          </w:p>
        </w:tc>
        <w:tc>
          <w:tcPr>
            <w:tcW w:w="110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0.7</w:t>
            </w:r>
          </w:p>
        </w:tc>
        <w:tc>
          <w:tcPr>
            <w:tcW w:w="113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0.1</w:t>
            </w:r>
          </w:p>
        </w:tc>
        <w:tc>
          <w:tcPr>
            <w:tcW w:w="1101"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0.2</w:t>
            </w:r>
          </w:p>
        </w:tc>
        <w:tc>
          <w:tcPr>
            <w:tcW w:w="945"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20"/>
                <w:szCs w:val="20"/>
              </w:rPr>
            </w:pPr>
            <w:r w:rsidRPr="005C5EC5">
              <w:rPr>
                <w:rFonts w:ascii="Times New Roman" w:hAnsi="Times New Roman" w:cs="Times New Roman"/>
                <w:color w:val="000000"/>
                <w:sz w:val="20"/>
                <w:szCs w:val="20"/>
              </w:rPr>
              <w:t>0.4</w:t>
            </w:r>
          </w:p>
        </w:tc>
      </w:tr>
    </w:tbl>
    <w:p w:rsidR="00BA4EAD" w:rsidRDefault="00BA4EAD" w:rsidP="005C5EC5">
      <w:pPr>
        <w:spacing w:after="120" w:line="360" w:lineRule="auto"/>
        <w:rPr>
          <w:rFonts w:ascii="Times New Roman" w:hAnsi="Times New Roman" w:cs="Times New Roman"/>
        </w:rPr>
      </w:pPr>
      <w:r w:rsidRPr="005C5EC5">
        <w:rPr>
          <w:rFonts w:ascii="Times New Roman" w:hAnsi="Times New Roman" w:cs="Times New Roman"/>
          <w:sz w:val="20"/>
          <w:szCs w:val="20"/>
        </w:rPr>
        <w:t>Source: Handbook of Statistics on States Finance, Stud y of States Budget by RBI and National Account statistics</w:t>
      </w:r>
    </w:p>
    <w:p w:rsidR="00BA4EAD" w:rsidRPr="00E16AFE" w:rsidRDefault="00BA4EAD" w:rsidP="005C5EC5">
      <w:pPr>
        <w:spacing w:after="120" w:line="360" w:lineRule="auto"/>
        <w:jc w:val="both"/>
        <w:rPr>
          <w:rFonts w:ascii="Times New Roman" w:hAnsi="Times New Roman" w:cs="Times New Roman"/>
        </w:rPr>
      </w:pPr>
      <w:r w:rsidRPr="00E16AFE">
        <w:rPr>
          <w:rFonts w:ascii="Times New Roman" w:hAnsi="Times New Roman" w:cs="Times New Roman"/>
        </w:rPr>
        <w:t xml:space="preserve">Expenditure on economic services also witnessed a falling trend when the state moved closer to FRA targets.  Expenditure on Agriculture and allied activities declined year after year. During the last three periods of the analysis the expenditure on agriculture and allied activities remained </w:t>
      </w:r>
      <w:proofErr w:type="gramStart"/>
      <w:r w:rsidRPr="00E16AFE">
        <w:rPr>
          <w:rFonts w:ascii="Times New Roman" w:hAnsi="Times New Roman" w:cs="Times New Roman"/>
        </w:rPr>
        <w:t>constant</w:t>
      </w:r>
      <w:r w:rsidR="005C5EC5" w:rsidRPr="005C5EC5">
        <w:rPr>
          <w:rFonts w:ascii="Times New Roman" w:hAnsi="Times New Roman" w:cs="Times New Roman"/>
        </w:rPr>
        <w:t>(</w:t>
      </w:r>
      <w:proofErr w:type="gramEnd"/>
      <w:r w:rsidR="005C5EC5" w:rsidRPr="005C5EC5">
        <w:rPr>
          <w:rFonts w:ascii="Times New Roman" w:hAnsi="Times New Roman" w:cs="Times New Roman"/>
        </w:rPr>
        <w:t>Table 1.2</w:t>
      </w:r>
      <w:r w:rsidRPr="005C5EC5">
        <w:rPr>
          <w:rFonts w:ascii="Times New Roman" w:hAnsi="Times New Roman" w:cs="Times New Roman"/>
        </w:rPr>
        <w:t>).</w:t>
      </w:r>
      <w:r w:rsidRPr="00E16AFE">
        <w:rPr>
          <w:rFonts w:ascii="Times New Roman" w:hAnsi="Times New Roman" w:cs="Times New Roman"/>
        </w:rPr>
        <w:t xml:space="preserve">Expenditure on rural development increased from 0.5 per cent during 1990-93 to 1.1 per cent during 1996-99 periods.  There after it started declining and reached 0.4 per cent during 2005-08 and further came down to 0.2 per cent during 2011-13 periods. Transport is the </w:t>
      </w:r>
      <w:r w:rsidRPr="00E16AFE">
        <w:rPr>
          <w:rFonts w:ascii="Times New Roman" w:hAnsi="Times New Roman" w:cs="Times New Roman"/>
        </w:rPr>
        <w:lastRenderedPageBreak/>
        <w:t xml:space="preserve">only one sector, which registered an increasing trend in expenditure. Expenditure on transport was 0.6 per cent of the GSDP during 1990-93 periods and remained constant in first three periods of analysis and increased to 0.8 per cent during 2005-08 periods and remained stagnant. </w:t>
      </w:r>
    </w:p>
    <w:p w:rsidR="00BA4EAD" w:rsidRPr="005C5EC5" w:rsidRDefault="00BA4EAD" w:rsidP="005C5EC5">
      <w:pPr>
        <w:spacing w:after="0" w:line="240" w:lineRule="auto"/>
        <w:jc w:val="center"/>
        <w:rPr>
          <w:rFonts w:ascii="Times New Roman" w:hAnsi="Times New Roman" w:cs="Times New Roman"/>
          <w:sz w:val="20"/>
          <w:szCs w:val="20"/>
        </w:rPr>
      </w:pPr>
    </w:p>
    <w:p w:rsidR="005C5EC5" w:rsidRPr="005C5EC5" w:rsidRDefault="005C5EC5" w:rsidP="005C5EC5">
      <w:pPr>
        <w:spacing w:after="0" w:line="240" w:lineRule="auto"/>
        <w:jc w:val="center"/>
        <w:rPr>
          <w:rFonts w:ascii="Times New Roman" w:hAnsi="Times New Roman" w:cs="Times New Roman"/>
          <w:b/>
          <w:sz w:val="20"/>
          <w:szCs w:val="20"/>
        </w:rPr>
      </w:pPr>
      <w:r w:rsidRPr="005C5EC5">
        <w:rPr>
          <w:rFonts w:ascii="Times New Roman" w:hAnsi="Times New Roman" w:cs="Times New Roman"/>
          <w:b/>
          <w:sz w:val="20"/>
          <w:szCs w:val="20"/>
        </w:rPr>
        <w:t>Table1.2</w:t>
      </w:r>
    </w:p>
    <w:p w:rsidR="00BA4EAD" w:rsidRPr="005C5EC5" w:rsidRDefault="00BA4EAD" w:rsidP="005C5EC5">
      <w:pPr>
        <w:spacing w:after="0" w:line="240" w:lineRule="auto"/>
        <w:jc w:val="center"/>
        <w:rPr>
          <w:rFonts w:ascii="Times New Roman" w:hAnsi="Times New Roman" w:cs="Times New Roman"/>
          <w:sz w:val="20"/>
          <w:szCs w:val="20"/>
        </w:rPr>
      </w:pPr>
      <w:r w:rsidRPr="005C5EC5">
        <w:rPr>
          <w:rFonts w:ascii="Times New Roman" w:hAnsi="Times New Roman" w:cs="Times New Roman"/>
          <w:b/>
          <w:sz w:val="20"/>
          <w:szCs w:val="20"/>
        </w:rPr>
        <w:t>Expenditure on Economic Services</w:t>
      </w:r>
    </w:p>
    <w:tbl>
      <w:tblPr>
        <w:tblStyle w:val="TableGrid"/>
        <w:tblW w:w="7464" w:type="dxa"/>
        <w:tblLook w:val="04A0" w:firstRow="1" w:lastRow="0" w:firstColumn="1" w:lastColumn="0" w:noHBand="0" w:noVBand="1"/>
      </w:tblPr>
      <w:tblGrid>
        <w:gridCol w:w="804"/>
        <w:gridCol w:w="1056"/>
        <w:gridCol w:w="1074"/>
        <w:gridCol w:w="1092"/>
        <w:gridCol w:w="948"/>
        <w:gridCol w:w="990"/>
        <w:gridCol w:w="972"/>
        <w:gridCol w:w="865"/>
      </w:tblGrid>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Year</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(b)Economic Services</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1.Agriculture and Allied Activities</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2.Rural Development</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3.Major and Medium Irrigation and Flood Control</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4.Industry and Minerals</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5.Transport</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6.General Economic Services</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1990-93</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3.7</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1.4</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0.5</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0.4</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0.1</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1993-96</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3.5</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1.2</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0.5</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0.4</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0.1</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1996-99</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4</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1.1</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1.1</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0.5</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0.4</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1999-02</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3.3</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0.4</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2002-05</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3.5</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1</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0.3</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2005-08</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2.6</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0.4</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0.3</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0.8</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0.1</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2008-11</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2.4</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0.3</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0.8</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0.1</w:t>
            </w:r>
          </w:p>
        </w:tc>
      </w:tr>
      <w:tr w:rsidR="00434973" w:rsidRPr="005C5EC5" w:rsidTr="00434973">
        <w:trPr>
          <w:trHeight w:val="300"/>
        </w:trPr>
        <w:tc>
          <w:tcPr>
            <w:tcW w:w="80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2011-13</w:t>
            </w:r>
          </w:p>
        </w:tc>
        <w:tc>
          <w:tcPr>
            <w:tcW w:w="1056"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2</w:t>
            </w:r>
          </w:p>
        </w:tc>
        <w:tc>
          <w:tcPr>
            <w:tcW w:w="1044"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0.6</w:t>
            </w:r>
          </w:p>
        </w:tc>
        <w:tc>
          <w:tcPr>
            <w:tcW w:w="109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0.2</w:t>
            </w:r>
          </w:p>
        </w:tc>
        <w:tc>
          <w:tcPr>
            <w:tcW w:w="94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0.3</w:t>
            </w:r>
          </w:p>
        </w:tc>
        <w:tc>
          <w:tcPr>
            <w:tcW w:w="990"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0.3</w:t>
            </w:r>
          </w:p>
        </w:tc>
        <w:tc>
          <w:tcPr>
            <w:tcW w:w="972"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0.7</w:t>
            </w:r>
          </w:p>
        </w:tc>
        <w:tc>
          <w:tcPr>
            <w:tcW w:w="558" w:type="dxa"/>
            <w:noWrap/>
            <w:vAlign w:val="center"/>
            <w:hideMark/>
          </w:tcPr>
          <w:p w:rsidR="00BA4EAD" w:rsidRPr="005C5EC5" w:rsidRDefault="00BA4EAD" w:rsidP="005C5EC5">
            <w:pPr>
              <w:spacing w:after="0" w:line="240" w:lineRule="auto"/>
              <w:jc w:val="center"/>
              <w:rPr>
                <w:rFonts w:ascii="Times New Roman" w:hAnsi="Times New Roman" w:cs="Times New Roman"/>
                <w:color w:val="000000"/>
                <w:sz w:val="16"/>
                <w:szCs w:val="16"/>
              </w:rPr>
            </w:pPr>
            <w:r w:rsidRPr="005C5EC5">
              <w:rPr>
                <w:rFonts w:ascii="Times New Roman" w:hAnsi="Times New Roman" w:cs="Times New Roman"/>
                <w:color w:val="000000"/>
                <w:sz w:val="16"/>
                <w:szCs w:val="16"/>
              </w:rPr>
              <w:t>0.1</w:t>
            </w:r>
          </w:p>
        </w:tc>
      </w:tr>
    </w:tbl>
    <w:p w:rsidR="00BA4EAD" w:rsidRDefault="00BA4EAD" w:rsidP="00434973">
      <w:pPr>
        <w:spacing w:after="120" w:line="360" w:lineRule="auto"/>
        <w:rPr>
          <w:rFonts w:ascii="Times New Roman" w:hAnsi="Times New Roman" w:cs="Times New Roman"/>
          <w:sz w:val="16"/>
          <w:szCs w:val="16"/>
        </w:rPr>
      </w:pPr>
      <w:r w:rsidRPr="00434973">
        <w:rPr>
          <w:rFonts w:ascii="Times New Roman" w:hAnsi="Times New Roman" w:cs="Times New Roman"/>
          <w:sz w:val="16"/>
          <w:szCs w:val="16"/>
        </w:rPr>
        <w:t xml:space="preserve">Source: Handbook of Statistics on States Finance, Stud y of States Budget by RBI and National </w:t>
      </w:r>
      <w:r w:rsidRPr="00434973">
        <w:rPr>
          <w:rFonts w:ascii="Times New Roman" w:hAnsi="Times New Roman" w:cs="Times New Roman"/>
          <w:sz w:val="16"/>
          <w:szCs w:val="16"/>
        </w:rPr>
        <w:tab/>
        <w:t>Account statistics</w:t>
      </w:r>
    </w:p>
    <w:p w:rsidR="00434973" w:rsidRPr="00434973" w:rsidRDefault="00434973" w:rsidP="00434973">
      <w:pPr>
        <w:spacing w:after="120" w:line="360" w:lineRule="auto"/>
        <w:rPr>
          <w:rFonts w:ascii="Times New Roman" w:hAnsi="Times New Roman" w:cs="Times New Roman"/>
          <w:sz w:val="16"/>
          <w:szCs w:val="16"/>
        </w:rPr>
      </w:pPr>
    </w:p>
    <w:p w:rsidR="00BA4EAD" w:rsidRPr="00434973" w:rsidRDefault="00BA4EAD" w:rsidP="00434973">
      <w:pPr>
        <w:spacing w:after="120" w:line="360" w:lineRule="auto"/>
        <w:jc w:val="both"/>
      </w:pPr>
      <w:r w:rsidRPr="00434973">
        <w:rPr>
          <w:rFonts w:ascii="Times New Roman" w:hAnsi="Times New Roman" w:cs="Times New Roman"/>
        </w:rPr>
        <w:t>It is evident from the above figures that development expenditure was slightly reduced when</w:t>
      </w:r>
      <w:r w:rsidRPr="009E5764">
        <w:rPr>
          <w:rFonts w:ascii="Times New Roman" w:hAnsi="Times New Roman" w:cs="Times New Roman"/>
        </w:rPr>
        <w:t xml:space="preserve"> state moved close towards the achievement of FRA targets. Since the enactment of FRA, development expenditure of the state declined slightly and reached </w:t>
      </w:r>
      <w:r>
        <w:rPr>
          <w:rFonts w:ascii="Times New Roman" w:hAnsi="Times New Roman" w:cs="Times New Roman"/>
        </w:rPr>
        <w:t>close to 6 per cent of the GSDP in 2012-2013</w:t>
      </w:r>
      <w:r w:rsidRPr="009E5764">
        <w:rPr>
          <w:rFonts w:ascii="Times New Roman" w:hAnsi="Times New Roman" w:cs="Times New Roman"/>
        </w:rPr>
        <w:t xml:space="preserve">. The study also reveals that reduction in expenditure on economic services was much higher than that of social services. Expenditure on most of the components of economic services and social services remained constant or registered a decline except that of transport and social welfare.  </w:t>
      </w:r>
    </w:p>
    <w:p w:rsidR="00BA4EAD" w:rsidRPr="008864C6" w:rsidRDefault="00BA4EAD" w:rsidP="00BA4EAD">
      <w:pPr>
        <w:jc w:val="center"/>
        <w:rPr>
          <w:rFonts w:ascii="Times New Roman" w:hAnsi="Times New Roman" w:cs="Times New Roman"/>
          <w:b/>
          <w:sz w:val="26"/>
          <w:szCs w:val="26"/>
        </w:rPr>
      </w:pPr>
      <w:r w:rsidRPr="008864C6">
        <w:rPr>
          <w:rFonts w:ascii="Times New Roman" w:hAnsi="Times New Roman" w:cs="Times New Roman"/>
          <w:b/>
          <w:sz w:val="26"/>
          <w:szCs w:val="26"/>
        </w:rPr>
        <w:lastRenderedPageBreak/>
        <w:t>Conclusion</w:t>
      </w:r>
    </w:p>
    <w:p w:rsidR="00BA4EAD" w:rsidRDefault="00BA4EAD" w:rsidP="00BA4EAD">
      <w:pPr>
        <w:spacing w:line="360" w:lineRule="auto"/>
        <w:jc w:val="both"/>
        <w:rPr>
          <w:rFonts w:ascii="Times New Roman" w:hAnsi="Times New Roman" w:cs="Times New Roman"/>
        </w:rPr>
      </w:pPr>
      <w:r w:rsidRPr="00674B12">
        <w:rPr>
          <w:rFonts w:ascii="Times New Roman" w:hAnsi="Times New Roman" w:cs="Times New Roman"/>
        </w:rPr>
        <w:t>FRA was enacted in a situation in which the revenue and fiscal deficits of the states increased beyond limits and there was a need for a strong step from the centre to control the states from growing revenue and fiscal deficits. Finance commission</w:t>
      </w:r>
      <w:r>
        <w:rPr>
          <w:rFonts w:ascii="Times New Roman" w:hAnsi="Times New Roman" w:cs="Times New Roman"/>
        </w:rPr>
        <w:t>’</w:t>
      </w:r>
      <w:r w:rsidRPr="00674B12">
        <w:rPr>
          <w:rFonts w:ascii="Times New Roman" w:hAnsi="Times New Roman" w:cs="Times New Roman"/>
        </w:rPr>
        <w:t>s criteria for transfer is also based on the performance of the states in achiev</w:t>
      </w:r>
      <w:r>
        <w:rPr>
          <w:rFonts w:ascii="Times New Roman" w:hAnsi="Times New Roman" w:cs="Times New Roman"/>
        </w:rPr>
        <w:t xml:space="preserve">ing the targets set by the FRA and </w:t>
      </w:r>
      <w:r w:rsidRPr="00674B12">
        <w:rPr>
          <w:rFonts w:ascii="Times New Roman" w:hAnsi="Times New Roman" w:cs="Times New Roman"/>
        </w:rPr>
        <w:t>almost all the states strived towards the achievement of the targets. In this con</w:t>
      </w:r>
      <w:r>
        <w:rPr>
          <w:rFonts w:ascii="Times New Roman" w:hAnsi="Times New Roman" w:cs="Times New Roman"/>
        </w:rPr>
        <w:t>text the study basically focused</w:t>
      </w:r>
      <w:r w:rsidRPr="00674B12">
        <w:rPr>
          <w:rFonts w:ascii="Times New Roman" w:hAnsi="Times New Roman" w:cs="Times New Roman"/>
        </w:rPr>
        <w:t xml:space="preserve"> on examining the trends of fiscal stability in Kerala before and after the enactment of FRA and understanding the impact of FRA target on the development expenditure of Kerala</w:t>
      </w:r>
      <w:r>
        <w:rPr>
          <w:rFonts w:ascii="Times New Roman" w:hAnsi="Times New Roman" w:cs="Times New Roman"/>
        </w:rPr>
        <w:t>. R</w:t>
      </w:r>
      <w:r w:rsidRPr="00674B12">
        <w:rPr>
          <w:rFonts w:ascii="Times New Roman" w:hAnsi="Times New Roman" w:cs="Times New Roman"/>
        </w:rPr>
        <w:t>eduction in pension an</w:t>
      </w:r>
      <w:r>
        <w:rPr>
          <w:rFonts w:ascii="Times New Roman" w:hAnsi="Times New Roman" w:cs="Times New Roman"/>
        </w:rPr>
        <w:t xml:space="preserve">d interest payments is not easy, as </w:t>
      </w:r>
      <w:proofErr w:type="spellStart"/>
      <w:r>
        <w:rPr>
          <w:rFonts w:ascii="Times New Roman" w:hAnsi="Times New Roman" w:cs="Times New Roman"/>
        </w:rPr>
        <w:t>thei</w:t>
      </w:r>
      <w:r w:rsidRPr="00674B12">
        <w:rPr>
          <w:rFonts w:ascii="Times New Roman" w:hAnsi="Times New Roman" w:cs="Times New Roman"/>
        </w:rPr>
        <w:t>nterest</w:t>
      </w:r>
      <w:proofErr w:type="spellEnd"/>
      <w:r w:rsidRPr="00674B12">
        <w:rPr>
          <w:rFonts w:ascii="Times New Roman" w:hAnsi="Times New Roman" w:cs="Times New Roman"/>
        </w:rPr>
        <w:t xml:space="preserve"> payment is the reflection of the past accumulated debt and pension is socially sensitive expenditure and cannot be reduced sharply during the short time. The tax buoyancy of the states is</w:t>
      </w:r>
      <w:r>
        <w:rPr>
          <w:rFonts w:ascii="Times New Roman" w:hAnsi="Times New Roman" w:cs="Times New Roman"/>
        </w:rPr>
        <w:t xml:space="preserve"> also</w:t>
      </w:r>
      <w:r w:rsidRPr="00674B12">
        <w:rPr>
          <w:rFonts w:ascii="Times New Roman" w:hAnsi="Times New Roman" w:cs="Times New Roman"/>
        </w:rPr>
        <w:t xml:space="preserve"> limited. Kerala tried to increase its own tax revenue since the enactment of FRA. But the growth in own tax revenue is not en</w:t>
      </w:r>
      <w:r>
        <w:rPr>
          <w:rFonts w:ascii="Times New Roman" w:hAnsi="Times New Roman" w:cs="Times New Roman"/>
        </w:rPr>
        <w:t xml:space="preserve">ough to achieve the FRA target and therefore </w:t>
      </w:r>
      <w:r w:rsidRPr="00674B12">
        <w:rPr>
          <w:rFonts w:ascii="Times New Roman" w:hAnsi="Times New Roman" w:cs="Times New Roman"/>
        </w:rPr>
        <w:t>Kerala</w:t>
      </w:r>
      <w:r>
        <w:rPr>
          <w:rFonts w:ascii="Times New Roman" w:hAnsi="Times New Roman" w:cs="Times New Roman"/>
        </w:rPr>
        <w:t xml:space="preserve"> was </w:t>
      </w:r>
      <w:r w:rsidRPr="00674B12">
        <w:rPr>
          <w:rFonts w:ascii="Times New Roman" w:hAnsi="Times New Roman" w:cs="Times New Roman"/>
        </w:rPr>
        <w:t>compelled to reduce development expendit</w:t>
      </w:r>
      <w:r>
        <w:rPr>
          <w:rFonts w:ascii="Times New Roman" w:hAnsi="Times New Roman" w:cs="Times New Roman"/>
        </w:rPr>
        <w:t xml:space="preserve">ure to achieve the FRA </w:t>
      </w:r>
      <w:r w:rsidR="00434973">
        <w:rPr>
          <w:rFonts w:ascii="Times New Roman" w:hAnsi="Times New Roman" w:cs="Times New Roman"/>
        </w:rPr>
        <w:t>target.</w:t>
      </w:r>
      <w:r w:rsidRPr="00674B12">
        <w:rPr>
          <w:rFonts w:ascii="Times New Roman" w:hAnsi="Times New Roman" w:cs="Times New Roman"/>
        </w:rPr>
        <w:t xml:space="preserve">  It is seen that the development expenditure of the state registered a decline since the enactment of FRA</w:t>
      </w:r>
      <w:r>
        <w:rPr>
          <w:rFonts w:ascii="Times New Roman" w:hAnsi="Times New Roman" w:cs="Times New Roman"/>
        </w:rPr>
        <w:t xml:space="preserve"> and followed the trends of Fiscal and Revenue deficits</w:t>
      </w:r>
      <w:r w:rsidRPr="00674B12">
        <w:rPr>
          <w:rFonts w:ascii="Times New Roman" w:hAnsi="Times New Roman" w:cs="Times New Roman"/>
        </w:rPr>
        <w:t>. Expenditure on both economic and social services declined continuously. The economic expenditure declined more rapidly than the social services expenditure. While during 2008-10 the social service expenditure slightly increased due to increase in the expenditure on social security and welfare. On the other hand economic expenditure fell continuously and most of its components remained constant or decreased except the expen</w:t>
      </w:r>
      <w:r>
        <w:rPr>
          <w:rFonts w:ascii="Times New Roman" w:hAnsi="Times New Roman" w:cs="Times New Roman"/>
        </w:rPr>
        <w:t xml:space="preserve">diture on transport. Based </w:t>
      </w:r>
      <w:r>
        <w:rPr>
          <w:rFonts w:ascii="Times New Roman" w:hAnsi="Times New Roman" w:cs="Times New Roman"/>
        </w:rPr>
        <w:lastRenderedPageBreak/>
        <w:t xml:space="preserve">on the </w:t>
      </w:r>
      <w:r w:rsidRPr="00674B12">
        <w:rPr>
          <w:rFonts w:ascii="Times New Roman" w:hAnsi="Times New Roman" w:cs="Times New Roman"/>
        </w:rPr>
        <w:t>analysis there are evidences to say that improvement in the fiscal ratio of Kerala after the enactment of FRA had a negative impact on development expenditure of the state.</w:t>
      </w:r>
    </w:p>
    <w:p w:rsidR="00BA4EAD" w:rsidRPr="00434973" w:rsidRDefault="00BA4EAD" w:rsidP="00434973">
      <w:pPr>
        <w:spacing w:line="240" w:lineRule="auto"/>
        <w:jc w:val="both"/>
        <w:rPr>
          <w:rFonts w:ascii="Times New Roman" w:hAnsi="Times New Roman" w:cs="Times New Roman"/>
          <w:b/>
        </w:rPr>
      </w:pPr>
      <w:r w:rsidRPr="00434973">
        <w:rPr>
          <w:rFonts w:ascii="Times New Roman" w:hAnsi="Times New Roman" w:cs="Times New Roman"/>
          <w:b/>
        </w:rPr>
        <w:t>References</w:t>
      </w:r>
    </w:p>
    <w:p w:rsidR="00BA4EAD" w:rsidRPr="00434973" w:rsidRDefault="00434973" w:rsidP="00434973">
      <w:pPr>
        <w:autoSpaceDE w:val="0"/>
        <w:autoSpaceDN w:val="0"/>
        <w:spacing w:after="0" w:line="240" w:lineRule="auto"/>
        <w:ind w:left="720" w:hanging="720"/>
        <w:jc w:val="both"/>
        <w:rPr>
          <w:rFonts w:ascii="Times New Roman" w:hAnsi="Times New Roman"/>
        </w:rPr>
      </w:pPr>
      <w:proofErr w:type="spellStart"/>
      <w:r>
        <w:rPr>
          <w:rFonts w:ascii="Times New Roman" w:hAnsi="Times New Roman"/>
        </w:rPr>
        <w:t>Lahir</w:t>
      </w:r>
      <w:proofErr w:type="spellEnd"/>
      <w:r>
        <w:rPr>
          <w:rFonts w:ascii="Times New Roman" w:hAnsi="Times New Roman"/>
        </w:rPr>
        <w:t xml:space="preserve">, Ashok K (2000): </w:t>
      </w:r>
      <w:r w:rsidRPr="00434973">
        <w:rPr>
          <w:rFonts w:ascii="Times New Roman" w:hAnsi="Times New Roman"/>
        </w:rPr>
        <w:t>‘</w:t>
      </w:r>
      <w:r w:rsidR="00BA4EAD" w:rsidRPr="00434973">
        <w:rPr>
          <w:rFonts w:ascii="Times New Roman" w:hAnsi="Times New Roman"/>
          <w:bCs/>
        </w:rPr>
        <w:t>Sub-National Public Finance in India</w:t>
      </w:r>
      <w:r w:rsidRPr="00434973">
        <w:rPr>
          <w:rFonts w:ascii="Times New Roman" w:hAnsi="Times New Roman"/>
          <w:bCs/>
        </w:rPr>
        <w:t>’</w:t>
      </w:r>
      <w:r w:rsidR="00BA4EAD" w:rsidRPr="00434973">
        <w:rPr>
          <w:rFonts w:ascii="Times New Roman" w:hAnsi="Times New Roman"/>
          <w:bCs/>
        </w:rPr>
        <w:t>,</w:t>
      </w:r>
      <w:r w:rsidR="00BA4EAD" w:rsidRPr="00434973">
        <w:rPr>
          <w:rFonts w:ascii="Times New Roman" w:hAnsi="Times New Roman"/>
        </w:rPr>
        <w:t xml:space="preserve"> </w:t>
      </w:r>
      <w:r w:rsidR="00BA4EAD" w:rsidRPr="00434973">
        <w:rPr>
          <w:rFonts w:ascii="Times New Roman" w:hAnsi="Times New Roman"/>
          <w:i/>
        </w:rPr>
        <w:t>Economic an</w:t>
      </w:r>
      <w:r>
        <w:rPr>
          <w:rFonts w:ascii="Times New Roman" w:hAnsi="Times New Roman"/>
          <w:i/>
        </w:rPr>
        <w:t xml:space="preserve">d </w:t>
      </w:r>
      <w:r w:rsidR="00BA4EAD" w:rsidRPr="00434973">
        <w:rPr>
          <w:rFonts w:ascii="Times New Roman" w:hAnsi="Times New Roman"/>
          <w:i/>
        </w:rPr>
        <w:t>Political Weekly,</w:t>
      </w:r>
      <w:r w:rsidR="00BA4EAD" w:rsidRPr="00434973">
        <w:rPr>
          <w:rFonts w:ascii="Times New Roman" w:hAnsi="Times New Roman"/>
        </w:rPr>
        <w:t xml:space="preserve"> Vol. 35, No. 18 (Apr. 29 - May 5, 2000), pp. 1539-1549.</w:t>
      </w:r>
    </w:p>
    <w:p w:rsidR="00BA4EAD" w:rsidRPr="00434973" w:rsidRDefault="00BA4EAD" w:rsidP="00434973">
      <w:pPr>
        <w:autoSpaceDE w:val="0"/>
        <w:autoSpaceDN w:val="0"/>
        <w:spacing w:after="0" w:line="240" w:lineRule="auto"/>
        <w:ind w:left="720" w:hanging="720"/>
        <w:jc w:val="both"/>
        <w:rPr>
          <w:rFonts w:ascii="Times New Roman" w:hAnsi="Times New Roman"/>
        </w:rPr>
      </w:pPr>
      <w:proofErr w:type="spellStart"/>
      <w:r w:rsidRPr="00434973">
        <w:rPr>
          <w:rFonts w:ascii="Times New Roman" w:hAnsi="Times New Roman"/>
          <w:bCs/>
        </w:rPr>
        <w:t>Sen</w:t>
      </w:r>
      <w:proofErr w:type="spellEnd"/>
      <w:r w:rsidR="00434973">
        <w:rPr>
          <w:rFonts w:ascii="Times New Roman" w:hAnsi="Times New Roman"/>
          <w:bCs/>
        </w:rPr>
        <w:t>, Tapas K</w:t>
      </w:r>
      <w:r w:rsidRPr="00434973">
        <w:rPr>
          <w:rFonts w:ascii="Times New Roman" w:hAnsi="Times New Roman"/>
          <w:bCs/>
        </w:rPr>
        <w:t xml:space="preserve"> and Kumar,</w:t>
      </w:r>
      <w:r w:rsidR="00434973">
        <w:rPr>
          <w:rFonts w:ascii="Times New Roman" w:hAnsi="Times New Roman"/>
          <w:bCs/>
        </w:rPr>
        <w:t xml:space="preserve"> </w:t>
      </w:r>
      <w:r w:rsidR="00434973" w:rsidRPr="00434973">
        <w:rPr>
          <w:rFonts w:ascii="Times New Roman" w:hAnsi="Times New Roman"/>
          <w:bCs/>
        </w:rPr>
        <w:t>Krishna</w:t>
      </w:r>
      <w:r w:rsidR="00434973">
        <w:rPr>
          <w:rFonts w:ascii="Times New Roman" w:hAnsi="Times New Roman"/>
          <w:bCs/>
        </w:rPr>
        <w:t xml:space="preserve"> (2009): ‘</w:t>
      </w:r>
      <w:r w:rsidRPr="00434973">
        <w:rPr>
          <w:rFonts w:ascii="Times New Roman" w:hAnsi="Times New Roman"/>
          <w:bCs/>
        </w:rPr>
        <w:t>Reprioritisation of Public Expenditure for Human Development,</w:t>
      </w:r>
      <w:r w:rsidR="00434973">
        <w:rPr>
          <w:rFonts w:ascii="Times New Roman" w:hAnsi="Times New Roman"/>
          <w:bCs/>
        </w:rPr>
        <w:t>’</w:t>
      </w:r>
      <w:r w:rsidRPr="00434973">
        <w:rPr>
          <w:rFonts w:ascii="Times New Roman" w:hAnsi="Times New Roman"/>
        </w:rPr>
        <w:t xml:space="preserve"> </w:t>
      </w:r>
      <w:r w:rsidRPr="00434973">
        <w:rPr>
          <w:rFonts w:ascii="Times New Roman" w:hAnsi="Times New Roman"/>
          <w:i/>
        </w:rPr>
        <w:t>National Institute of Public Finance and Policy,</w:t>
      </w:r>
      <w:r w:rsidRPr="00434973">
        <w:rPr>
          <w:rFonts w:ascii="Times New Roman" w:hAnsi="Times New Roman"/>
        </w:rPr>
        <w:t xml:space="preserve"> New Delhi</w:t>
      </w:r>
    </w:p>
    <w:p w:rsidR="00434973" w:rsidRPr="001D1BD0" w:rsidRDefault="00BA4EAD" w:rsidP="00434973">
      <w:pPr>
        <w:pStyle w:val="Default"/>
        <w:ind w:left="720" w:hanging="720"/>
        <w:jc w:val="both"/>
      </w:pPr>
      <w:proofErr w:type="spellStart"/>
      <w:r>
        <w:t>Chakraborty</w:t>
      </w:r>
      <w:proofErr w:type="spellEnd"/>
      <w:r w:rsidR="00434973">
        <w:t xml:space="preserve">, </w:t>
      </w:r>
      <w:proofErr w:type="spellStart"/>
      <w:r w:rsidR="00434973" w:rsidRPr="00DD7D0D">
        <w:t>Pinaki</w:t>
      </w:r>
      <w:proofErr w:type="spellEnd"/>
      <w:r>
        <w:t xml:space="preserve"> and B. B</w:t>
      </w:r>
      <w:r w:rsidRPr="00DD7D0D">
        <w:t xml:space="preserve">, </w:t>
      </w:r>
      <w:r w:rsidR="00434973" w:rsidRPr="00DD7D0D">
        <w:t>Dash</w:t>
      </w:r>
      <w:r w:rsidR="00434973">
        <w:t xml:space="preserve"> (2009):</w:t>
      </w:r>
      <w:r w:rsidRPr="00DD7D0D">
        <w:t xml:space="preserve">  </w:t>
      </w:r>
      <w:r w:rsidR="00434973">
        <w:t>‘</w:t>
      </w:r>
      <w:r w:rsidRPr="00DD7D0D">
        <w:t>Fiscal Refor</w:t>
      </w:r>
      <w:r>
        <w:t xml:space="preserve">ms, Fiscal Rule and Development </w:t>
      </w:r>
      <w:r w:rsidRPr="00DD7D0D">
        <w:t>Spending: How Indian States have Performed?</w:t>
      </w:r>
      <w:proofErr w:type="gramStart"/>
      <w:r w:rsidR="00434973">
        <w:t>’,</w:t>
      </w:r>
      <w:proofErr w:type="gramEnd"/>
      <w:r w:rsidR="00434973" w:rsidRPr="00DD7D0D">
        <w:t xml:space="preserve"> W</w:t>
      </w:r>
      <w:r w:rsidRPr="00DD7D0D">
        <w:t xml:space="preserve"> </w:t>
      </w:r>
      <w:r w:rsidRPr="00434973">
        <w:rPr>
          <w:i/>
        </w:rPr>
        <w:t>P No. 2013-122</w:t>
      </w:r>
      <w:r w:rsidR="00434973">
        <w:t>,</w:t>
      </w:r>
      <w:r w:rsidRPr="00DD7D0D">
        <w:t xml:space="preserve"> National Institute of Public Finance and Policy ,New Delhi</w:t>
      </w:r>
      <w:r w:rsidR="00434973">
        <w:t>.</w:t>
      </w:r>
    </w:p>
    <w:p w:rsidR="00BA4EAD" w:rsidRDefault="00434973" w:rsidP="00434973">
      <w:pPr>
        <w:autoSpaceDE w:val="0"/>
        <w:autoSpaceDN w:val="0"/>
        <w:spacing w:after="0" w:line="240" w:lineRule="auto"/>
        <w:jc w:val="both"/>
        <w:rPr>
          <w:rFonts w:ascii="Times New Roman" w:eastAsia="Calibri" w:hAnsi="Times New Roman"/>
          <w:color w:val="000000" w:themeColor="text1"/>
        </w:rPr>
      </w:pPr>
      <w:r>
        <w:rPr>
          <w:rFonts w:ascii="Times New Roman" w:eastAsia="Calibri" w:hAnsi="Times New Roman"/>
          <w:color w:val="000000" w:themeColor="text1"/>
        </w:rPr>
        <w:t>GOI (2005)</w:t>
      </w:r>
      <w:r w:rsidR="00BA4EAD" w:rsidRPr="00434973">
        <w:rPr>
          <w:rFonts w:ascii="Times New Roman" w:eastAsia="Calibri" w:hAnsi="Times New Roman"/>
          <w:color w:val="000000" w:themeColor="text1"/>
        </w:rPr>
        <w:t xml:space="preserve"> Report of (Twelfth) Finance Commission (2005)</w:t>
      </w:r>
    </w:p>
    <w:p w:rsidR="00434973" w:rsidRPr="00434973" w:rsidRDefault="00434973" w:rsidP="00434973">
      <w:pPr>
        <w:autoSpaceDE w:val="0"/>
        <w:autoSpaceDN w:val="0"/>
        <w:spacing w:after="0" w:line="240" w:lineRule="auto"/>
        <w:jc w:val="both"/>
        <w:rPr>
          <w:rFonts w:ascii="Times New Roman" w:eastAsiaTheme="minorHAnsi" w:hAnsi="Times New Roman"/>
        </w:rPr>
      </w:pPr>
    </w:p>
    <w:p w:rsidR="00BA4EAD" w:rsidRDefault="00434973" w:rsidP="00434973">
      <w:pPr>
        <w:autoSpaceDE w:val="0"/>
        <w:autoSpaceDN w:val="0"/>
        <w:spacing w:after="0" w:line="240" w:lineRule="auto"/>
        <w:jc w:val="both"/>
        <w:rPr>
          <w:rFonts w:ascii="Times New Roman" w:eastAsia="Calibri" w:hAnsi="Times New Roman"/>
          <w:color w:val="000000" w:themeColor="text1"/>
        </w:rPr>
      </w:pPr>
      <w:r>
        <w:rPr>
          <w:rFonts w:ascii="Times New Roman" w:eastAsia="Calibri" w:hAnsi="Times New Roman"/>
          <w:color w:val="000000" w:themeColor="text1"/>
        </w:rPr>
        <w:t>GOI (2010)</w:t>
      </w:r>
      <w:r w:rsidR="00BA4EAD" w:rsidRPr="00434973">
        <w:rPr>
          <w:rFonts w:ascii="Times New Roman" w:eastAsia="Calibri" w:hAnsi="Times New Roman"/>
          <w:color w:val="000000" w:themeColor="text1"/>
        </w:rPr>
        <w:t xml:space="preserve"> Report of (Twelfth) Finance Commission (2010)</w:t>
      </w:r>
    </w:p>
    <w:p w:rsidR="00434973" w:rsidRPr="00434973" w:rsidRDefault="00434973" w:rsidP="00434973">
      <w:pPr>
        <w:autoSpaceDE w:val="0"/>
        <w:autoSpaceDN w:val="0"/>
        <w:spacing w:after="0" w:line="240" w:lineRule="auto"/>
        <w:jc w:val="both"/>
        <w:rPr>
          <w:rFonts w:ascii="Times New Roman" w:eastAsiaTheme="minorHAnsi" w:hAnsi="Times New Roman"/>
        </w:rPr>
      </w:pPr>
    </w:p>
    <w:p w:rsidR="000E4885" w:rsidRPr="0089232C" w:rsidRDefault="00434973" w:rsidP="00BA4EAD">
      <w:pPr>
        <w:spacing w:after="120" w:line="360" w:lineRule="auto"/>
        <w:rPr>
          <w:rFonts w:ascii="Times New Roman" w:hAnsi="Times New Roman"/>
        </w:rPr>
      </w:pPr>
      <w:proofErr w:type="gramStart"/>
      <w:r>
        <w:rPr>
          <w:rFonts w:ascii="Times New Roman" w:eastAsia="Calibri" w:hAnsi="Times New Roman" w:cs="Times New Roman"/>
          <w:color w:val="000000" w:themeColor="text1"/>
        </w:rPr>
        <w:t xml:space="preserve">GOI </w:t>
      </w:r>
      <w:r w:rsidR="00BA4EAD" w:rsidRPr="000A544F">
        <w:rPr>
          <w:rFonts w:ascii="Times New Roman" w:eastAsia="Calibri" w:hAnsi="Times New Roman" w:cs="Times New Roman"/>
          <w:color w:val="000000" w:themeColor="text1"/>
        </w:rPr>
        <w:t>Budget Document, Various Issues.</w:t>
      </w:r>
      <w:proofErr w:type="gramEnd"/>
    </w:p>
    <w:sectPr w:rsidR="000E4885" w:rsidRPr="0089232C" w:rsidSect="00E42E5B">
      <w:headerReference w:type="even" r:id="rId11"/>
      <w:headerReference w:type="default" r:id="rId12"/>
      <w:footerReference w:type="even" r:id="rId13"/>
      <w:footerReference w:type="default" r:id="rId14"/>
      <w:headerReference w:type="first" r:id="rId15"/>
      <w:footerReference w:type="first" r:id="rId16"/>
      <w:pgSz w:w="10080" w:h="13680" w:code="9"/>
      <w:pgMar w:top="1440" w:right="1440" w:bottom="1440" w:left="1440" w:header="720" w:footer="720" w:gutter="0"/>
      <w:pgNumType w:start="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D6" w:rsidRDefault="00CE0FD6" w:rsidP="00470FC8">
      <w:pPr>
        <w:spacing w:after="0" w:line="240" w:lineRule="auto"/>
      </w:pPr>
      <w:r>
        <w:separator/>
      </w:r>
    </w:p>
  </w:endnote>
  <w:endnote w:type="continuationSeparator" w:id="0">
    <w:p w:rsidR="00CE0FD6" w:rsidRDefault="00CE0FD6" w:rsidP="0047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2225"/>
      <w:gridCol w:w="5191"/>
    </w:tblGrid>
    <w:tr w:rsidR="00DB0CF5">
      <w:trPr>
        <w:trHeight w:val="360"/>
      </w:trPr>
      <w:tc>
        <w:tcPr>
          <w:tcW w:w="1500" w:type="pct"/>
          <w:shd w:val="clear" w:color="auto" w:fill="8064A2" w:themeFill="accent4"/>
        </w:tcPr>
        <w:p w:rsidR="00DB0CF5" w:rsidRDefault="00DB0CF5">
          <w:pPr>
            <w:pStyle w:val="Footer"/>
            <w:rPr>
              <w:color w:val="FFFFFF" w:themeColor="background1"/>
            </w:rPr>
          </w:pPr>
          <w:r>
            <w:fldChar w:fldCharType="begin"/>
          </w:r>
          <w:r>
            <w:instrText xml:space="preserve"> PAGE   \* MERGEFORMAT </w:instrText>
          </w:r>
          <w:r>
            <w:fldChar w:fldCharType="separate"/>
          </w:r>
          <w:r w:rsidR="005D2A5B" w:rsidRPr="005D2A5B">
            <w:rPr>
              <w:noProof/>
              <w:color w:val="FFFFFF" w:themeColor="background1"/>
            </w:rPr>
            <w:t>106</w:t>
          </w:r>
          <w:r>
            <w:rPr>
              <w:noProof/>
              <w:color w:val="FFFFFF" w:themeColor="background1"/>
            </w:rPr>
            <w:fldChar w:fldCharType="end"/>
          </w:r>
        </w:p>
      </w:tc>
      <w:tc>
        <w:tcPr>
          <w:tcW w:w="3500" w:type="pct"/>
        </w:tcPr>
        <w:p w:rsidR="00DB0CF5" w:rsidRDefault="00DB0CF5">
          <w:pPr>
            <w:pStyle w:val="Footer"/>
          </w:pPr>
        </w:p>
      </w:tc>
    </w:tr>
  </w:tbl>
  <w:p w:rsidR="003E1FE0" w:rsidRDefault="003E1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5191"/>
      <w:gridCol w:w="2225"/>
    </w:tblGrid>
    <w:tr w:rsidR="00DB0CF5">
      <w:trPr>
        <w:trHeight w:val="360"/>
      </w:trPr>
      <w:tc>
        <w:tcPr>
          <w:tcW w:w="3500" w:type="pct"/>
        </w:tcPr>
        <w:p w:rsidR="00DB0CF5" w:rsidRDefault="00DB0CF5">
          <w:pPr>
            <w:pStyle w:val="Footer"/>
            <w:jc w:val="right"/>
          </w:pPr>
        </w:p>
      </w:tc>
      <w:tc>
        <w:tcPr>
          <w:tcW w:w="1500" w:type="pct"/>
          <w:shd w:val="clear" w:color="auto" w:fill="8064A2" w:themeFill="accent4"/>
        </w:tcPr>
        <w:p w:rsidR="00DB0CF5" w:rsidRDefault="00DB0CF5">
          <w:pPr>
            <w:pStyle w:val="Footer"/>
            <w:jc w:val="right"/>
            <w:rPr>
              <w:color w:val="FFFFFF" w:themeColor="background1"/>
            </w:rPr>
          </w:pPr>
          <w:r>
            <w:fldChar w:fldCharType="begin"/>
          </w:r>
          <w:r>
            <w:instrText xml:space="preserve"> PAGE    \* MERGEFORMAT </w:instrText>
          </w:r>
          <w:r>
            <w:fldChar w:fldCharType="separate"/>
          </w:r>
          <w:r w:rsidR="005D2A5B" w:rsidRPr="005D2A5B">
            <w:rPr>
              <w:noProof/>
              <w:color w:val="FFFFFF" w:themeColor="background1"/>
            </w:rPr>
            <w:t>105</w:t>
          </w:r>
          <w:r>
            <w:rPr>
              <w:noProof/>
              <w:color w:val="FFFFFF" w:themeColor="background1"/>
            </w:rPr>
            <w:fldChar w:fldCharType="end"/>
          </w:r>
        </w:p>
      </w:tc>
    </w:tr>
  </w:tbl>
  <w:p w:rsidR="003E1FE0" w:rsidRDefault="003E1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5191"/>
      <w:gridCol w:w="2225"/>
    </w:tblGrid>
    <w:tr w:rsidR="00DB0CF5">
      <w:trPr>
        <w:trHeight w:val="360"/>
      </w:trPr>
      <w:tc>
        <w:tcPr>
          <w:tcW w:w="3500" w:type="pct"/>
        </w:tcPr>
        <w:p w:rsidR="00DB0CF5" w:rsidRDefault="00DB0CF5">
          <w:pPr>
            <w:pStyle w:val="Footer"/>
            <w:jc w:val="right"/>
          </w:pPr>
        </w:p>
      </w:tc>
      <w:tc>
        <w:tcPr>
          <w:tcW w:w="1500" w:type="pct"/>
          <w:shd w:val="clear" w:color="auto" w:fill="8064A2" w:themeFill="accent4"/>
        </w:tcPr>
        <w:p w:rsidR="00DB0CF5" w:rsidRDefault="00DB0CF5">
          <w:pPr>
            <w:pStyle w:val="Footer"/>
            <w:jc w:val="right"/>
            <w:rPr>
              <w:color w:val="FFFFFF" w:themeColor="background1"/>
            </w:rPr>
          </w:pPr>
          <w:r>
            <w:fldChar w:fldCharType="begin"/>
          </w:r>
          <w:r>
            <w:instrText xml:space="preserve"> PAGE    \* MERGEFORMAT </w:instrText>
          </w:r>
          <w:r>
            <w:fldChar w:fldCharType="separate"/>
          </w:r>
          <w:r w:rsidR="005D2A5B" w:rsidRPr="005D2A5B">
            <w:rPr>
              <w:noProof/>
              <w:color w:val="FFFFFF" w:themeColor="background1"/>
            </w:rPr>
            <w:t>99</w:t>
          </w:r>
          <w:r>
            <w:rPr>
              <w:noProof/>
              <w:color w:val="FFFFFF" w:themeColor="background1"/>
            </w:rPr>
            <w:fldChar w:fldCharType="end"/>
          </w:r>
        </w:p>
      </w:tc>
    </w:tr>
  </w:tbl>
  <w:p w:rsidR="003E1FE0" w:rsidRDefault="003E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D6" w:rsidRDefault="00CE0FD6" w:rsidP="00470FC8">
      <w:pPr>
        <w:spacing w:after="0" w:line="240" w:lineRule="auto"/>
      </w:pPr>
      <w:r>
        <w:separator/>
      </w:r>
    </w:p>
  </w:footnote>
  <w:footnote w:type="continuationSeparator" w:id="0">
    <w:p w:rsidR="00CE0FD6" w:rsidRDefault="00CE0FD6" w:rsidP="00470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E0" w:rsidRPr="00DB0CF5" w:rsidRDefault="00DB0CF5" w:rsidP="00DB0CF5">
    <w:pPr>
      <w:pStyle w:val="Header"/>
      <w:rPr>
        <w:i/>
      </w:rPr>
    </w:pPr>
    <w:r w:rsidRPr="00DB0CF5">
      <w:rPr>
        <w:i/>
      </w:rPr>
      <w:t xml:space="preserve">Prof. Francis </w:t>
    </w:r>
    <w:proofErr w:type="spellStart"/>
    <w:r w:rsidRPr="00DB0CF5">
      <w:rPr>
        <w:i/>
      </w:rPr>
      <w:t>Assissi</w:t>
    </w:r>
    <w:proofErr w:type="spellEnd"/>
    <w:r w:rsidRPr="00DB0CF5">
      <w:rPr>
        <w:i/>
      </w:rPr>
      <w:ptab w:relativeTo="margin" w:alignment="center" w:leader="none"/>
    </w:r>
    <w:r w:rsidRPr="00DB0CF5">
      <w:rPr>
        <w:i/>
      </w:rPr>
      <w:ptab w:relativeTo="margin" w:alignment="right" w:leader="none"/>
    </w:r>
    <w:r w:rsidRPr="00DB0CF5">
      <w:rPr>
        <w:i/>
      </w:rPr>
      <w:t xml:space="preserve">FRBM on </w:t>
    </w:r>
    <w:proofErr w:type="gramStart"/>
    <w:r w:rsidRPr="00DB0CF5">
      <w:rPr>
        <w:i/>
      </w:rPr>
      <w:t>Economic ...</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E0" w:rsidRPr="00DB0CF5" w:rsidRDefault="00DB0CF5">
    <w:pPr>
      <w:pStyle w:val="Header"/>
      <w:rPr>
        <w:i/>
      </w:rPr>
    </w:pPr>
    <w:r w:rsidRPr="00DB0CF5">
      <w:rPr>
        <w:i/>
      </w:rPr>
      <w:t>The Pauline Journal of Social Science</w:t>
    </w:r>
    <w:r w:rsidRPr="00DB0CF5">
      <w:rPr>
        <w:i/>
      </w:rPr>
      <w:ptab w:relativeTo="margin" w:alignment="right" w:leader="none"/>
    </w:r>
    <w:r w:rsidRPr="00DB0CF5">
      <w:rPr>
        <w:i/>
      </w:rPr>
      <w:t>Vol. 1, No.1 (Jan.,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E0" w:rsidRPr="00DB0CF5" w:rsidRDefault="00DB0CF5" w:rsidP="00DB0CF5">
    <w:pPr>
      <w:pStyle w:val="Header"/>
      <w:rPr>
        <w:rFonts w:asciiTheme="minorHAnsi" w:hAnsiTheme="minorHAnsi" w:cs="Times New Roman"/>
        <w:i/>
      </w:rPr>
    </w:pPr>
    <w:r w:rsidRPr="00DB0CF5">
      <w:rPr>
        <w:rFonts w:asciiTheme="minorHAnsi" w:hAnsiTheme="minorHAnsi" w:cs="Times New Roman"/>
        <w:i/>
      </w:rPr>
      <w:t>The Pauline Journal of Social Science</w:t>
    </w:r>
    <w:r w:rsidRPr="00DB0CF5">
      <w:rPr>
        <w:rFonts w:asciiTheme="minorHAnsi" w:hAnsiTheme="minorHAnsi" w:cs="Times New Roman"/>
        <w:i/>
      </w:rPr>
      <w:ptab w:relativeTo="margin" w:alignment="right" w:leader="none"/>
    </w:r>
    <w:r w:rsidRPr="00DB0CF5">
      <w:rPr>
        <w:rFonts w:asciiTheme="minorHAnsi" w:hAnsiTheme="minorHAnsi" w:cs="Times New Roman"/>
        <w:i/>
      </w:rPr>
      <w:t>Vol. 1, No.1 (Jan.,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E29"/>
    <w:multiLevelType w:val="multilevel"/>
    <w:tmpl w:val="68B8CD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94527"/>
    <w:multiLevelType w:val="hybridMultilevel"/>
    <w:tmpl w:val="0D26B8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297748"/>
    <w:multiLevelType w:val="hybridMultilevel"/>
    <w:tmpl w:val="764E0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E62387"/>
    <w:multiLevelType w:val="hybridMultilevel"/>
    <w:tmpl w:val="5B100E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7749C"/>
    <w:multiLevelType w:val="hybridMultilevel"/>
    <w:tmpl w:val="BA72328C"/>
    <w:lvl w:ilvl="0" w:tplc="B1A6AABA">
      <w:start w:val="1"/>
      <w:numFmt w:val="bullet"/>
      <w:lvlText w:val="•"/>
      <w:lvlJc w:val="left"/>
      <w:pPr>
        <w:tabs>
          <w:tab w:val="num" w:pos="720"/>
        </w:tabs>
        <w:ind w:left="720" w:hanging="360"/>
      </w:pPr>
      <w:rPr>
        <w:rFonts w:ascii="Arial" w:hAnsi="Arial" w:hint="default"/>
      </w:rPr>
    </w:lvl>
    <w:lvl w:ilvl="1" w:tplc="23921E40" w:tentative="1">
      <w:start w:val="1"/>
      <w:numFmt w:val="bullet"/>
      <w:lvlText w:val="•"/>
      <w:lvlJc w:val="left"/>
      <w:pPr>
        <w:tabs>
          <w:tab w:val="num" w:pos="1440"/>
        </w:tabs>
        <w:ind w:left="1440" w:hanging="360"/>
      </w:pPr>
      <w:rPr>
        <w:rFonts w:ascii="Arial" w:hAnsi="Arial" w:hint="default"/>
      </w:rPr>
    </w:lvl>
    <w:lvl w:ilvl="2" w:tplc="BE2E94E6">
      <w:start w:val="910"/>
      <w:numFmt w:val="bullet"/>
      <w:lvlText w:val="•"/>
      <w:lvlJc w:val="left"/>
      <w:pPr>
        <w:tabs>
          <w:tab w:val="num" w:pos="2160"/>
        </w:tabs>
        <w:ind w:left="2160" w:hanging="360"/>
      </w:pPr>
      <w:rPr>
        <w:rFonts w:ascii="Arial" w:hAnsi="Arial" w:hint="default"/>
      </w:rPr>
    </w:lvl>
    <w:lvl w:ilvl="3" w:tplc="B6763C8E" w:tentative="1">
      <w:start w:val="1"/>
      <w:numFmt w:val="bullet"/>
      <w:lvlText w:val="•"/>
      <w:lvlJc w:val="left"/>
      <w:pPr>
        <w:tabs>
          <w:tab w:val="num" w:pos="2880"/>
        </w:tabs>
        <w:ind w:left="2880" w:hanging="360"/>
      </w:pPr>
      <w:rPr>
        <w:rFonts w:ascii="Arial" w:hAnsi="Arial" w:hint="default"/>
      </w:rPr>
    </w:lvl>
    <w:lvl w:ilvl="4" w:tplc="64AA3922" w:tentative="1">
      <w:start w:val="1"/>
      <w:numFmt w:val="bullet"/>
      <w:lvlText w:val="•"/>
      <w:lvlJc w:val="left"/>
      <w:pPr>
        <w:tabs>
          <w:tab w:val="num" w:pos="3600"/>
        </w:tabs>
        <w:ind w:left="3600" w:hanging="360"/>
      </w:pPr>
      <w:rPr>
        <w:rFonts w:ascii="Arial" w:hAnsi="Arial" w:hint="default"/>
      </w:rPr>
    </w:lvl>
    <w:lvl w:ilvl="5" w:tplc="5DCA7F72" w:tentative="1">
      <w:start w:val="1"/>
      <w:numFmt w:val="bullet"/>
      <w:lvlText w:val="•"/>
      <w:lvlJc w:val="left"/>
      <w:pPr>
        <w:tabs>
          <w:tab w:val="num" w:pos="4320"/>
        </w:tabs>
        <w:ind w:left="4320" w:hanging="360"/>
      </w:pPr>
      <w:rPr>
        <w:rFonts w:ascii="Arial" w:hAnsi="Arial" w:hint="default"/>
      </w:rPr>
    </w:lvl>
    <w:lvl w:ilvl="6" w:tplc="B9824D10" w:tentative="1">
      <w:start w:val="1"/>
      <w:numFmt w:val="bullet"/>
      <w:lvlText w:val="•"/>
      <w:lvlJc w:val="left"/>
      <w:pPr>
        <w:tabs>
          <w:tab w:val="num" w:pos="5040"/>
        </w:tabs>
        <w:ind w:left="5040" w:hanging="360"/>
      </w:pPr>
      <w:rPr>
        <w:rFonts w:ascii="Arial" w:hAnsi="Arial" w:hint="default"/>
      </w:rPr>
    </w:lvl>
    <w:lvl w:ilvl="7" w:tplc="C2C45B7A" w:tentative="1">
      <w:start w:val="1"/>
      <w:numFmt w:val="bullet"/>
      <w:lvlText w:val="•"/>
      <w:lvlJc w:val="left"/>
      <w:pPr>
        <w:tabs>
          <w:tab w:val="num" w:pos="5760"/>
        </w:tabs>
        <w:ind w:left="5760" w:hanging="360"/>
      </w:pPr>
      <w:rPr>
        <w:rFonts w:ascii="Arial" w:hAnsi="Arial" w:hint="default"/>
      </w:rPr>
    </w:lvl>
    <w:lvl w:ilvl="8" w:tplc="D30E7052" w:tentative="1">
      <w:start w:val="1"/>
      <w:numFmt w:val="bullet"/>
      <w:lvlText w:val="•"/>
      <w:lvlJc w:val="left"/>
      <w:pPr>
        <w:tabs>
          <w:tab w:val="num" w:pos="6480"/>
        </w:tabs>
        <w:ind w:left="6480" w:hanging="360"/>
      </w:pPr>
      <w:rPr>
        <w:rFonts w:ascii="Arial" w:hAnsi="Arial" w:hint="default"/>
      </w:rPr>
    </w:lvl>
  </w:abstractNum>
  <w:abstractNum w:abstractNumId="5">
    <w:nsid w:val="298D3B92"/>
    <w:multiLevelType w:val="hybridMultilevel"/>
    <w:tmpl w:val="8F52B9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50A035A"/>
    <w:multiLevelType w:val="hybridMultilevel"/>
    <w:tmpl w:val="16422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4B4BA7"/>
    <w:multiLevelType w:val="multilevel"/>
    <w:tmpl w:val="F4D4E8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8E5705"/>
    <w:multiLevelType w:val="hybridMultilevel"/>
    <w:tmpl w:val="CE4A9636"/>
    <w:lvl w:ilvl="0" w:tplc="44B68B36">
      <w:start w:val="1"/>
      <w:numFmt w:val="bullet"/>
      <w:lvlText w:val="•"/>
      <w:lvlJc w:val="left"/>
      <w:pPr>
        <w:tabs>
          <w:tab w:val="num" w:pos="720"/>
        </w:tabs>
        <w:ind w:left="720" w:hanging="360"/>
      </w:pPr>
      <w:rPr>
        <w:rFonts w:ascii="Arial" w:hAnsi="Arial" w:hint="default"/>
      </w:rPr>
    </w:lvl>
    <w:lvl w:ilvl="1" w:tplc="028876B4" w:tentative="1">
      <w:start w:val="1"/>
      <w:numFmt w:val="bullet"/>
      <w:lvlText w:val="•"/>
      <w:lvlJc w:val="left"/>
      <w:pPr>
        <w:tabs>
          <w:tab w:val="num" w:pos="1440"/>
        </w:tabs>
        <w:ind w:left="1440" w:hanging="360"/>
      </w:pPr>
      <w:rPr>
        <w:rFonts w:ascii="Arial" w:hAnsi="Arial" w:hint="default"/>
      </w:rPr>
    </w:lvl>
    <w:lvl w:ilvl="2" w:tplc="337EDBCE" w:tentative="1">
      <w:start w:val="1"/>
      <w:numFmt w:val="bullet"/>
      <w:lvlText w:val="•"/>
      <w:lvlJc w:val="left"/>
      <w:pPr>
        <w:tabs>
          <w:tab w:val="num" w:pos="2160"/>
        </w:tabs>
        <w:ind w:left="2160" w:hanging="360"/>
      </w:pPr>
      <w:rPr>
        <w:rFonts w:ascii="Arial" w:hAnsi="Arial" w:hint="default"/>
      </w:rPr>
    </w:lvl>
    <w:lvl w:ilvl="3" w:tplc="FDBE1904" w:tentative="1">
      <w:start w:val="1"/>
      <w:numFmt w:val="bullet"/>
      <w:lvlText w:val="•"/>
      <w:lvlJc w:val="left"/>
      <w:pPr>
        <w:tabs>
          <w:tab w:val="num" w:pos="2880"/>
        </w:tabs>
        <w:ind w:left="2880" w:hanging="360"/>
      </w:pPr>
      <w:rPr>
        <w:rFonts w:ascii="Arial" w:hAnsi="Arial" w:hint="default"/>
      </w:rPr>
    </w:lvl>
    <w:lvl w:ilvl="4" w:tplc="163A20A0" w:tentative="1">
      <w:start w:val="1"/>
      <w:numFmt w:val="bullet"/>
      <w:lvlText w:val="•"/>
      <w:lvlJc w:val="left"/>
      <w:pPr>
        <w:tabs>
          <w:tab w:val="num" w:pos="3600"/>
        </w:tabs>
        <w:ind w:left="3600" w:hanging="360"/>
      </w:pPr>
      <w:rPr>
        <w:rFonts w:ascii="Arial" w:hAnsi="Arial" w:hint="default"/>
      </w:rPr>
    </w:lvl>
    <w:lvl w:ilvl="5" w:tplc="01E04E68" w:tentative="1">
      <w:start w:val="1"/>
      <w:numFmt w:val="bullet"/>
      <w:lvlText w:val="•"/>
      <w:lvlJc w:val="left"/>
      <w:pPr>
        <w:tabs>
          <w:tab w:val="num" w:pos="4320"/>
        </w:tabs>
        <w:ind w:left="4320" w:hanging="360"/>
      </w:pPr>
      <w:rPr>
        <w:rFonts w:ascii="Arial" w:hAnsi="Arial" w:hint="default"/>
      </w:rPr>
    </w:lvl>
    <w:lvl w:ilvl="6" w:tplc="6C3E14B6" w:tentative="1">
      <w:start w:val="1"/>
      <w:numFmt w:val="bullet"/>
      <w:lvlText w:val="•"/>
      <w:lvlJc w:val="left"/>
      <w:pPr>
        <w:tabs>
          <w:tab w:val="num" w:pos="5040"/>
        </w:tabs>
        <w:ind w:left="5040" w:hanging="360"/>
      </w:pPr>
      <w:rPr>
        <w:rFonts w:ascii="Arial" w:hAnsi="Arial" w:hint="default"/>
      </w:rPr>
    </w:lvl>
    <w:lvl w:ilvl="7" w:tplc="DF1E0552" w:tentative="1">
      <w:start w:val="1"/>
      <w:numFmt w:val="bullet"/>
      <w:lvlText w:val="•"/>
      <w:lvlJc w:val="left"/>
      <w:pPr>
        <w:tabs>
          <w:tab w:val="num" w:pos="5760"/>
        </w:tabs>
        <w:ind w:left="5760" w:hanging="360"/>
      </w:pPr>
      <w:rPr>
        <w:rFonts w:ascii="Arial" w:hAnsi="Arial" w:hint="default"/>
      </w:rPr>
    </w:lvl>
    <w:lvl w:ilvl="8" w:tplc="859674D2" w:tentative="1">
      <w:start w:val="1"/>
      <w:numFmt w:val="bullet"/>
      <w:lvlText w:val="•"/>
      <w:lvlJc w:val="left"/>
      <w:pPr>
        <w:tabs>
          <w:tab w:val="num" w:pos="6480"/>
        </w:tabs>
        <w:ind w:left="6480" w:hanging="360"/>
      </w:pPr>
      <w:rPr>
        <w:rFonts w:ascii="Arial" w:hAnsi="Arial" w:hint="default"/>
      </w:rPr>
    </w:lvl>
  </w:abstractNum>
  <w:abstractNum w:abstractNumId="9">
    <w:nsid w:val="512C4483"/>
    <w:multiLevelType w:val="hybridMultilevel"/>
    <w:tmpl w:val="42D8BA96"/>
    <w:lvl w:ilvl="0" w:tplc="B70E15C8">
      <w:start w:val="1"/>
      <w:numFmt w:val="bullet"/>
      <w:lvlText w:val="•"/>
      <w:lvlJc w:val="left"/>
      <w:pPr>
        <w:tabs>
          <w:tab w:val="num" w:pos="720"/>
        </w:tabs>
        <w:ind w:left="720" w:hanging="360"/>
      </w:pPr>
      <w:rPr>
        <w:rFonts w:ascii="Arial" w:hAnsi="Arial" w:hint="default"/>
      </w:rPr>
    </w:lvl>
    <w:lvl w:ilvl="1" w:tplc="EC88B23C" w:tentative="1">
      <w:start w:val="1"/>
      <w:numFmt w:val="bullet"/>
      <w:lvlText w:val="•"/>
      <w:lvlJc w:val="left"/>
      <w:pPr>
        <w:tabs>
          <w:tab w:val="num" w:pos="1440"/>
        </w:tabs>
        <w:ind w:left="1440" w:hanging="360"/>
      </w:pPr>
      <w:rPr>
        <w:rFonts w:ascii="Arial" w:hAnsi="Arial" w:hint="default"/>
      </w:rPr>
    </w:lvl>
    <w:lvl w:ilvl="2" w:tplc="3F087134" w:tentative="1">
      <w:start w:val="1"/>
      <w:numFmt w:val="bullet"/>
      <w:lvlText w:val="•"/>
      <w:lvlJc w:val="left"/>
      <w:pPr>
        <w:tabs>
          <w:tab w:val="num" w:pos="2160"/>
        </w:tabs>
        <w:ind w:left="2160" w:hanging="360"/>
      </w:pPr>
      <w:rPr>
        <w:rFonts w:ascii="Arial" w:hAnsi="Arial" w:hint="default"/>
      </w:rPr>
    </w:lvl>
    <w:lvl w:ilvl="3" w:tplc="45B6C856" w:tentative="1">
      <w:start w:val="1"/>
      <w:numFmt w:val="bullet"/>
      <w:lvlText w:val="•"/>
      <w:lvlJc w:val="left"/>
      <w:pPr>
        <w:tabs>
          <w:tab w:val="num" w:pos="2880"/>
        </w:tabs>
        <w:ind w:left="2880" w:hanging="360"/>
      </w:pPr>
      <w:rPr>
        <w:rFonts w:ascii="Arial" w:hAnsi="Arial" w:hint="default"/>
      </w:rPr>
    </w:lvl>
    <w:lvl w:ilvl="4" w:tplc="333626C8" w:tentative="1">
      <w:start w:val="1"/>
      <w:numFmt w:val="bullet"/>
      <w:lvlText w:val="•"/>
      <w:lvlJc w:val="left"/>
      <w:pPr>
        <w:tabs>
          <w:tab w:val="num" w:pos="3600"/>
        </w:tabs>
        <w:ind w:left="3600" w:hanging="360"/>
      </w:pPr>
      <w:rPr>
        <w:rFonts w:ascii="Arial" w:hAnsi="Arial" w:hint="default"/>
      </w:rPr>
    </w:lvl>
    <w:lvl w:ilvl="5" w:tplc="53D47C34" w:tentative="1">
      <w:start w:val="1"/>
      <w:numFmt w:val="bullet"/>
      <w:lvlText w:val="•"/>
      <w:lvlJc w:val="left"/>
      <w:pPr>
        <w:tabs>
          <w:tab w:val="num" w:pos="4320"/>
        </w:tabs>
        <w:ind w:left="4320" w:hanging="360"/>
      </w:pPr>
      <w:rPr>
        <w:rFonts w:ascii="Arial" w:hAnsi="Arial" w:hint="default"/>
      </w:rPr>
    </w:lvl>
    <w:lvl w:ilvl="6" w:tplc="4F9ED2E0" w:tentative="1">
      <w:start w:val="1"/>
      <w:numFmt w:val="bullet"/>
      <w:lvlText w:val="•"/>
      <w:lvlJc w:val="left"/>
      <w:pPr>
        <w:tabs>
          <w:tab w:val="num" w:pos="5040"/>
        </w:tabs>
        <w:ind w:left="5040" w:hanging="360"/>
      </w:pPr>
      <w:rPr>
        <w:rFonts w:ascii="Arial" w:hAnsi="Arial" w:hint="default"/>
      </w:rPr>
    </w:lvl>
    <w:lvl w:ilvl="7" w:tplc="6ECE4FB8" w:tentative="1">
      <w:start w:val="1"/>
      <w:numFmt w:val="bullet"/>
      <w:lvlText w:val="•"/>
      <w:lvlJc w:val="left"/>
      <w:pPr>
        <w:tabs>
          <w:tab w:val="num" w:pos="5760"/>
        </w:tabs>
        <w:ind w:left="5760" w:hanging="360"/>
      </w:pPr>
      <w:rPr>
        <w:rFonts w:ascii="Arial" w:hAnsi="Arial" w:hint="default"/>
      </w:rPr>
    </w:lvl>
    <w:lvl w:ilvl="8" w:tplc="94EA58D8" w:tentative="1">
      <w:start w:val="1"/>
      <w:numFmt w:val="bullet"/>
      <w:lvlText w:val="•"/>
      <w:lvlJc w:val="left"/>
      <w:pPr>
        <w:tabs>
          <w:tab w:val="num" w:pos="6480"/>
        </w:tabs>
        <w:ind w:left="6480" w:hanging="360"/>
      </w:pPr>
      <w:rPr>
        <w:rFonts w:ascii="Arial" w:hAnsi="Arial" w:hint="default"/>
      </w:rPr>
    </w:lvl>
  </w:abstractNum>
  <w:abstractNum w:abstractNumId="10">
    <w:nsid w:val="52AB4208"/>
    <w:multiLevelType w:val="hybridMultilevel"/>
    <w:tmpl w:val="9064E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D100A00"/>
    <w:multiLevelType w:val="hybridMultilevel"/>
    <w:tmpl w:val="9576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95E01"/>
    <w:multiLevelType w:val="hybridMultilevel"/>
    <w:tmpl w:val="4FD86D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7653D6B"/>
    <w:multiLevelType w:val="hybridMultilevel"/>
    <w:tmpl w:val="9F96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96C42"/>
    <w:multiLevelType w:val="hybridMultilevel"/>
    <w:tmpl w:val="E9C6FD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4"/>
  </w:num>
  <w:num w:numId="5">
    <w:abstractNumId w:val="0"/>
  </w:num>
  <w:num w:numId="6">
    <w:abstractNumId w:val="9"/>
  </w:num>
  <w:num w:numId="7">
    <w:abstractNumId w:val="3"/>
  </w:num>
  <w:num w:numId="8">
    <w:abstractNumId w:val="2"/>
  </w:num>
  <w:num w:numId="9">
    <w:abstractNumId w:val="5"/>
  </w:num>
  <w:num w:numId="10">
    <w:abstractNumId w:val="10"/>
  </w:num>
  <w:num w:numId="11">
    <w:abstractNumId w:val="6"/>
  </w:num>
  <w:num w:numId="12">
    <w:abstractNumId w:val="1"/>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405C"/>
    <w:rsid w:val="00005220"/>
    <w:rsid w:val="00027409"/>
    <w:rsid w:val="00074FCA"/>
    <w:rsid w:val="00084A92"/>
    <w:rsid w:val="00094AE1"/>
    <w:rsid w:val="000C6812"/>
    <w:rsid w:val="000D10E3"/>
    <w:rsid w:val="000E4885"/>
    <w:rsid w:val="000E4C53"/>
    <w:rsid w:val="000F3E16"/>
    <w:rsid w:val="0012574A"/>
    <w:rsid w:val="00127505"/>
    <w:rsid w:val="00134087"/>
    <w:rsid w:val="00147F35"/>
    <w:rsid w:val="001653F2"/>
    <w:rsid w:val="0016766B"/>
    <w:rsid w:val="001A5151"/>
    <w:rsid w:val="001E621D"/>
    <w:rsid w:val="00223E8B"/>
    <w:rsid w:val="0023527E"/>
    <w:rsid w:val="002550F6"/>
    <w:rsid w:val="00273A53"/>
    <w:rsid w:val="0027695F"/>
    <w:rsid w:val="002911D2"/>
    <w:rsid w:val="002B5AB5"/>
    <w:rsid w:val="002C5822"/>
    <w:rsid w:val="002D500A"/>
    <w:rsid w:val="003040F8"/>
    <w:rsid w:val="00330221"/>
    <w:rsid w:val="00332378"/>
    <w:rsid w:val="00334377"/>
    <w:rsid w:val="0037413B"/>
    <w:rsid w:val="003D4E8A"/>
    <w:rsid w:val="003D67A3"/>
    <w:rsid w:val="003D7D8C"/>
    <w:rsid w:val="003E1FE0"/>
    <w:rsid w:val="003F4C1F"/>
    <w:rsid w:val="00405AEA"/>
    <w:rsid w:val="00431827"/>
    <w:rsid w:val="00434973"/>
    <w:rsid w:val="0044636F"/>
    <w:rsid w:val="004511AB"/>
    <w:rsid w:val="00462194"/>
    <w:rsid w:val="00470FC8"/>
    <w:rsid w:val="004821E6"/>
    <w:rsid w:val="00482DDB"/>
    <w:rsid w:val="004A7140"/>
    <w:rsid w:val="004C40C4"/>
    <w:rsid w:val="004C7F44"/>
    <w:rsid w:val="004E288C"/>
    <w:rsid w:val="004E73E8"/>
    <w:rsid w:val="00500964"/>
    <w:rsid w:val="00532D85"/>
    <w:rsid w:val="00553AD3"/>
    <w:rsid w:val="005A06C5"/>
    <w:rsid w:val="005A1704"/>
    <w:rsid w:val="005B1567"/>
    <w:rsid w:val="005C4E67"/>
    <w:rsid w:val="005C5EC5"/>
    <w:rsid w:val="005D0CBF"/>
    <w:rsid w:val="005D2A5B"/>
    <w:rsid w:val="005D4AC5"/>
    <w:rsid w:val="005F73BD"/>
    <w:rsid w:val="00601135"/>
    <w:rsid w:val="00603486"/>
    <w:rsid w:val="00616727"/>
    <w:rsid w:val="00725CEB"/>
    <w:rsid w:val="00744ECF"/>
    <w:rsid w:val="00785F04"/>
    <w:rsid w:val="007934F8"/>
    <w:rsid w:val="00795A9A"/>
    <w:rsid w:val="00796703"/>
    <w:rsid w:val="007B0BF2"/>
    <w:rsid w:val="0081417D"/>
    <w:rsid w:val="00817421"/>
    <w:rsid w:val="00823E0C"/>
    <w:rsid w:val="00863969"/>
    <w:rsid w:val="00867A12"/>
    <w:rsid w:val="0089232C"/>
    <w:rsid w:val="008B6BA8"/>
    <w:rsid w:val="008C04CA"/>
    <w:rsid w:val="008D1670"/>
    <w:rsid w:val="00914B09"/>
    <w:rsid w:val="009A4EA0"/>
    <w:rsid w:val="009C4E07"/>
    <w:rsid w:val="00A13FF0"/>
    <w:rsid w:val="00A30CAE"/>
    <w:rsid w:val="00A343F4"/>
    <w:rsid w:val="00A553CC"/>
    <w:rsid w:val="00A61480"/>
    <w:rsid w:val="00A75E0C"/>
    <w:rsid w:val="00AF31C3"/>
    <w:rsid w:val="00B0528A"/>
    <w:rsid w:val="00B06BB8"/>
    <w:rsid w:val="00B27C84"/>
    <w:rsid w:val="00B5216A"/>
    <w:rsid w:val="00B556FF"/>
    <w:rsid w:val="00B86489"/>
    <w:rsid w:val="00BA1774"/>
    <w:rsid w:val="00BA48D3"/>
    <w:rsid w:val="00BA4EAD"/>
    <w:rsid w:val="00BD6DB1"/>
    <w:rsid w:val="00BF2BA6"/>
    <w:rsid w:val="00C059D7"/>
    <w:rsid w:val="00C13ABA"/>
    <w:rsid w:val="00C32DF6"/>
    <w:rsid w:val="00C6615F"/>
    <w:rsid w:val="00C76CE6"/>
    <w:rsid w:val="00C94881"/>
    <w:rsid w:val="00CB186B"/>
    <w:rsid w:val="00CE0FD6"/>
    <w:rsid w:val="00CE5C22"/>
    <w:rsid w:val="00D31E63"/>
    <w:rsid w:val="00D445BF"/>
    <w:rsid w:val="00D52673"/>
    <w:rsid w:val="00D625DF"/>
    <w:rsid w:val="00DB0CF5"/>
    <w:rsid w:val="00DB2CF0"/>
    <w:rsid w:val="00DB51BA"/>
    <w:rsid w:val="00DE0FE3"/>
    <w:rsid w:val="00E11E1E"/>
    <w:rsid w:val="00E13899"/>
    <w:rsid w:val="00E42E5B"/>
    <w:rsid w:val="00E54E13"/>
    <w:rsid w:val="00E645FA"/>
    <w:rsid w:val="00EB5A70"/>
    <w:rsid w:val="00ED313E"/>
    <w:rsid w:val="00ED386D"/>
    <w:rsid w:val="00ED6252"/>
    <w:rsid w:val="00EF58BD"/>
    <w:rsid w:val="00F039EC"/>
    <w:rsid w:val="00F03E0B"/>
    <w:rsid w:val="00F11132"/>
    <w:rsid w:val="00F11D68"/>
    <w:rsid w:val="00F12DCF"/>
    <w:rsid w:val="00F41570"/>
    <w:rsid w:val="00F57815"/>
    <w:rsid w:val="00F8405C"/>
    <w:rsid w:val="00F934EA"/>
    <w:rsid w:val="00FC24B6"/>
    <w:rsid w:val="00FD1AA0"/>
    <w:rsid w:val="00FD4244"/>
    <w:rsid w:val="00FE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5C"/>
    <w:pPr>
      <w:widowControl w:val="0"/>
      <w:overflowPunct w:val="0"/>
      <w:adjustRightInd w:val="0"/>
      <w:spacing w:after="240" w:line="275" w:lineRule="auto"/>
    </w:pPr>
    <w:rPr>
      <w:rFonts w:ascii="Calibri" w:eastAsia="Times New Roman"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AB"/>
    <w:pPr>
      <w:widowControl/>
      <w:overflowPunct/>
      <w:adjustRightInd/>
      <w:spacing w:after="200" w:line="276" w:lineRule="auto"/>
      <w:ind w:left="720"/>
      <w:contextualSpacing/>
    </w:pPr>
    <w:rPr>
      <w:rFonts w:eastAsia="Calibri" w:cs="Times New Roman"/>
      <w:kern w:val="0"/>
      <w:lang w:val="en-US" w:eastAsia="en-US"/>
    </w:rPr>
  </w:style>
  <w:style w:type="paragraph" w:styleId="Caption">
    <w:name w:val="caption"/>
    <w:basedOn w:val="Normal"/>
    <w:next w:val="Normal"/>
    <w:uiPriority w:val="35"/>
    <w:unhideWhenUsed/>
    <w:qFormat/>
    <w:rsid w:val="004511AB"/>
    <w:pPr>
      <w:widowControl/>
      <w:overflowPunct/>
      <w:adjustRightInd/>
      <w:spacing w:after="200" w:line="240" w:lineRule="auto"/>
    </w:pPr>
    <w:rPr>
      <w:rFonts w:cs="Times New Roman"/>
      <w:b/>
      <w:bCs/>
      <w:color w:val="4F81BD"/>
      <w:kern w:val="0"/>
      <w:sz w:val="18"/>
      <w:szCs w:val="18"/>
      <w:lang w:val="en-US" w:eastAsia="en-US"/>
    </w:rPr>
  </w:style>
  <w:style w:type="paragraph" w:styleId="NormalWeb">
    <w:name w:val="Normal (Web)"/>
    <w:basedOn w:val="Normal"/>
    <w:uiPriority w:val="99"/>
    <w:unhideWhenUsed/>
    <w:rsid w:val="00223E8B"/>
    <w:pPr>
      <w:widowControl/>
      <w:overflowPunct/>
      <w:adjustRightInd/>
      <w:spacing w:before="100" w:beforeAutospacing="1" w:after="100" w:afterAutospacing="1" w:line="240" w:lineRule="auto"/>
    </w:pPr>
    <w:rPr>
      <w:rFonts w:ascii="Times New Roman" w:hAnsi="Times New Roman" w:cs="Times New Roman"/>
      <w:color w:val="000000"/>
      <w:kern w:val="0"/>
      <w:lang w:val="en-US" w:eastAsia="en-US"/>
    </w:rPr>
  </w:style>
  <w:style w:type="character" w:styleId="Hyperlink">
    <w:name w:val="Hyperlink"/>
    <w:basedOn w:val="DefaultParagraphFont"/>
    <w:uiPriority w:val="99"/>
    <w:unhideWhenUsed/>
    <w:rsid w:val="00223E8B"/>
    <w:rPr>
      <w:color w:val="0000FF"/>
      <w:u w:val="single"/>
    </w:rPr>
  </w:style>
  <w:style w:type="paragraph" w:styleId="Header">
    <w:name w:val="header"/>
    <w:basedOn w:val="Normal"/>
    <w:link w:val="HeaderChar"/>
    <w:uiPriority w:val="99"/>
    <w:unhideWhenUsed/>
    <w:rsid w:val="00470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C8"/>
    <w:rPr>
      <w:rFonts w:ascii="Calibri" w:eastAsia="Times New Roman" w:hAnsi="Calibri" w:cs="Calibri"/>
      <w:kern w:val="28"/>
      <w:lang w:val="en-IN" w:eastAsia="en-IN"/>
    </w:rPr>
  </w:style>
  <w:style w:type="paragraph" w:styleId="Footer">
    <w:name w:val="footer"/>
    <w:basedOn w:val="Normal"/>
    <w:link w:val="FooterChar"/>
    <w:uiPriority w:val="99"/>
    <w:unhideWhenUsed/>
    <w:rsid w:val="0047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C8"/>
    <w:rPr>
      <w:rFonts w:ascii="Calibri" w:eastAsia="Times New Roman" w:hAnsi="Calibri" w:cs="Calibri"/>
      <w:kern w:val="28"/>
      <w:lang w:val="en-IN" w:eastAsia="en-IN"/>
    </w:rPr>
  </w:style>
  <w:style w:type="paragraph" w:styleId="BalloonText">
    <w:name w:val="Balloon Text"/>
    <w:basedOn w:val="Normal"/>
    <w:link w:val="BalloonTextChar"/>
    <w:uiPriority w:val="99"/>
    <w:semiHidden/>
    <w:unhideWhenUsed/>
    <w:rsid w:val="0047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C8"/>
    <w:rPr>
      <w:rFonts w:ascii="Tahoma" w:eastAsia="Times New Roman" w:hAnsi="Tahoma" w:cs="Tahoma"/>
      <w:kern w:val="28"/>
      <w:sz w:val="16"/>
      <w:szCs w:val="16"/>
      <w:lang w:val="en-IN" w:eastAsia="en-IN"/>
    </w:rPr>
  </w:style>
  <w:style w:type="paragraph" w:styleId="NoSpacing">
    <w:name w:val="No Spacing"/>
    <w:uiPriority w:val="1"/>
    <w:qFormat/>
    <w:rsid w:val="00532D85"/>
    <w:pPr>
      <w:widowControl w:val="0"/>
      <w:overflowPunct w:val="0"/>
      <w:adjustRightInd w:val="0"/>
      <w:spacing w:after="0" w:line="240" w:lineRule="auto"/>
    </w:pPr>
    <w:rPr>
      <w:rFonts w:ascii="Calibri" w:eastAsia="Times New Roman" w:hAnsi="Calibri" w:cs="Calibri"/>
      <w:lang w:val="en-IN" w:eastAsia="en-IN"/>
    </w:rPr>
  </w:style>
  <w:style w:type="character" w:customStyle="1" w:styleId="apple-style-span">
    <w:name w:val="apple-style-span"/>
    <w:basedOn w:val="DefaultParagraphFont"/>
    <w:rsid w:val="00C6615F"/>
  </w:style>
  <w:style w:type="table" w:styleId="LightShading">
    <w:name w:val="Light Shading"/>
    <w:basedOn w:val="TableNormal"/>
    <w:uiPriority w:val="60"/>
    <w:rsid w:val="00BA4EAD"/>
    <w:pPr>
      <w:spacing w:after="0" w:line="240" w:lineRule="auto"/>
    </w:pPr>
    <w:rPr>
      <w:rFonts w:asciiTheme="minorHAnsi" w:hAnsiTheme="minorHAnsi" w:cstheme="minorBidi"/>
      <w:color w:val="000000" w:themeColor="text1" w:themeShade="BF"/>
      <w:kern w:val="0"/>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BA4EAD"/>
    <w:pPr>
      <w:spacing w:after="0" w:line="240" w:lineRule="auto"/>
    </w:pPr>
    <w:rPr>
      <w:rFonts w:asciiTheme="minorHAnsi" w:hAnsiTheme="minorHAnsi" w:cstheme="minorBidi"/>
      <w:color w:val="943634" w:themeColor="accent2" w:themeShade="BF"/>
      <w:kern w:val="0"/>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BA4EAD"/>
    <w:pPr>
      <w:autoSpaceDE w:val="0"/>
      <w:autoSpaceDN w:val="0"/>
      <w:adjustRightInd w:val="0"/>
      <w:spacing w:after="0" w:line="240" w:lineRule="auto"/>
    </w:pPr>
    <w:rPr>
      <w:color w:val="000000"/>
      <w:kern w:val="0"/>
    </w:rPr>
  </w:style>
  <w:style w:type="table" w:styleId="TableGrid">
    <w:name w:val="Table Grid"/>
    <w:basedOn w:val="TableNormal"/>
    <w:uiPriority w:val="59"/>
    <w:rsid w:val="00BA4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6846">
      <w:bodyDiv w:val="1"/>
      <w:marLeft w:val="0"/>
      <w:marRight w:val="0"/>
      <w:marTop w:val="0"/>
      <w:marBottom w:val="0"/>
      <w:divBdr>
        <w:top w:val="none" w:sz="0" w:space="0" w:color="auto"/>
        <w:left w:val="none" w:sz="0" w:space="0" w:color="auto"/>
        <w:bottom w:val="none" w:sz="0" w:space="0" w:color="auto"/>
        <w:right w:val="none" w:sz="0" w:space="0" w:color="auto"/>
      </w:divBdr>
    </w:div>
    <w:div w:id="12231425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205719405">
      <w:bodyDiv w:val="1"/>
      <w:marLeft w:val="0"/>
      <w:marRight w:val="0"/>
      <w:marTop w:val="0"/>
      <w:marBottom w:val="0"/>
      <w:divBdr>
        <w:top w:val="none" w:sz="0" w:space="0" w:color="auto"/>
        <w:left w:val="none" w:sz="0" w:space="0" w:color="auto"/>
        <w:bottom w:val="none" w:sz="0" w:space="0" w:color="auto"/>
        <w:right w:val="none" w:sz="0" w:space="0" w:color="auto"/>
      </w:divBdr>
    </w:div>
    <w:div w:id="470365003">
      <w:bodyDiv w:val="1"/>
      <w:marLeft w:val="0"/>
      <w:marRight w:val="0"/>
      <w:marTop w:val="0"/>
      <w:marBottom w:val="0"/>
      <w:divBdr>
        <w:top w:val="none" w:sz="0" w:space="0" w:color="auto"/>
        <w:left w:val="none" w:sz="0" w:space="0" w:color="auto"/>
        <w:bottom w:val="none" w:sz="0" w:space="0" w:color="auto"/>
        <w:right w:val="none" w:sz="0" w:space="0" w:color="auto"/>
      </w:divBdr>
    </w:div>
    <w:div w:id="535772940">
      <w:bodyDiv w:val="1"/>
      <w:marLeft w:val="0"/>
      <w:marRight w:val="0"/>
      <w:marTop w:val="0"/>
      <w:marBottom w:val="0"/>
      <w:divBdr>
        <w:top w:val="none" w:sz="0" w:space="0" w:color="auto"/>
        <w:left w:val="none" w:sz="0" w:space="0" w:color="auto"/>
        <w:bottom w:val="none" w:sz="0" w:space="0" w:color="auto"/>
        <w:right w:val="none" w:sz="0" w:space="0" w:color="auto"/>
      </w:divBdr>
    </w:div>
    <w:div w:id="731855468">
      <w:bodyDiv w:val="1"/>
      <w:marLeft w:val="0"/>
      <w:marRight w:val="0"/>
      <w:marTop w:val="0"/>
      <w:marBottom w:val="0"/>
      <w:divBdr>
        <w:top w:val="none" w:sz="0" w:space="0" w:color="auto"/>
        <w:left w:val="none" w:sz="0" w:space="0" w:color="auto"/>
        <w:bottom w:val="none" w:sz="0" w:space="0" w:color="auto"/>
        <w:right w:val="none" w:sz="0" w:space="0" w:color="auto"/>
      </w:divBdr>
    </w:div>
    <w:div w:id="784689815">
      <w:bodyDiv w:val="1"/>
      <w:marLeft w:val="0"/>
      <w:marRight w:val="0"/>
      <w:marTop w:val="0"/>
      <w:marBottom w:val="0"/>
      <w:divBdr>
        <w:top w:val="none" w:sz="0" w:space="0" w:color="auto"/>
        <w:left w:val="none" w:sz="0" w:space="0" w:color="auto"/>
        <w:bottom w:val="none" w:sz="0" w:space="0" w:color="auto"/>
        <w:right w:val="none" w:sz="0" w:space="0" w:color="auto"/>
      </w:divBdr>
    </w:div>
    <w:div w:id="831723751">
      <w:bodyDiv w:val="1"/>
      <w:marLeft w:val="0"/>
      <w:marRight w:val="0"/>
      <w:marTop w:val="0"/>
      <w:marBottom w:val="0"/>
      <w:divBdr>
        <w:top w:val="none" w:sz="0" w:space="0" w:color="auto"/>
        <w:left w:val="none" w:sz="0" w:space="0" w:color="auto"/>
        <w:bottom w:val="none" w:sz="0" w:space="0" w:color="auto"/>
        <w:right w:val="none" w:sz="0" w:space="0" w:color="auto"/>
      </w:divBdr>
    </w:div>
    <w:div w:id="869994304">
      <w:bodyDiv w:val="1"/>
      <w:marLeft w:val="0"/>
      <w:marRight w:val="0"/>
      <w:marTop w:val="0"/>
      <w:marBottom w:val="0"/>
      <w:divBdr>
        <w:top w:val="none" w:sz="0" w:space="0" w:color="auto"/>
        <w:left w:val="none" w:sz="0" w:space="0" w:color="auto"/>
        <w:bottom w:val="none" w:sz="0" w:space="0" w:color="auto"/>
        <w:right w:val="none" w:sz="0" w:space="0" w:color="auto"/>
      </w:divBdr>
    </w:div>
    <w:div w:id="986207663">
      <w:bodyDiv w:val="1"/>
      <w:marLeft w:val="0"/>
      <w:marRight w:val="0"/>
      <w:marTop w:val="0"/>
      <w:marBottom w:val="0"/>
      <w:divBdr>
        <w:top w:val="none" w:sz="0" w:space="0" w:color="auto"/>
        <w:left w:val="none" w:sz="0" w:space="0" w:color="auto"/>
        <w:bottom w:val="none" w:sz="0" w:space="0" w:color="auto"/>
        <w:right w:val="none" w:sz="0" w:space="0" w:color="auto"/>
      </w:divBdr>
    </w:div>
    <w:div w:id="1306817550">
      <w:bodyDiv w:val="1"/>
      <w:marLeft w:val="0"/>
      <w:marRight w:val="0"/>
      <w:marTop w:val="0"/>
      <w:marBottom w:val="0"/>
      <w:divBdr>
        <w:top w:val="none" w:sz="0" w:space="0" w:color="auto"/>
        <w:left w:val="none" w:sz="0" w:space="0" w:color="auto"/>
        <w:bottom w:val="none" w:sz="0" w:space="0" w:color="auto"/>
        <w:right w:val="none" w:sz="0" w:space="0" w:color="auto"/>
      </w:divBdr>
    </w:div>
    <w:div w:id="1673485362">
      <w:bodyDiv w:val="1"/>
      <w:marLeft w:val="0"/>
      <w:marRight w:val="0"/>
      <w:marTop w:val="0"/>
      <w:marBottom w:val="0"/>
      <w:divBdr>
        <w:top w:val="none" w:sz="0" w:space="0" w:color="auto"/>
        <w:left w:val="none" w:sz="0" w:space="0" w:color="auto"/>
        <w:bottom w:val="none" w:sz="0" w:space="0" w:color="auto"/>
        <w:right w:val="none" w:sz="0" w:space="0" w:color="auto"/>
      </w:divBdr>
    </w:div>
    <w:div w:id="1754664887">
      <w:bodyDiv w:val="1"/>
      <w:marLeft w:val="0"/>
      <w:marRight w:val="0"/>
      <w:marTop w:val="0"/>
      <w:marBottom w:val="0"/>
      <w:divBdr>
        <w:top w:val="none" w:sz="0" w:space="0" w:color="auto"/>
        <w:left w:val="none" w:sz="0" w:space="0" w:color="auto"/>
        <w:bottom w:val="none" w:sz="0" w:space="0" w:color="auto"/>
        <w:right w:val="none" w:sz="0" w:space="0" w:color="auto"/>
      </w:divBdr>
    </w:div>
    <w:div w:id="1846506979">
      <w:bodyDiv w:val="1"/>
      <w:marLeft w:val="0"/>
      <w:marRight w:val="0"/>
      <w:marTop w:val="0"/>
      <w:marBottom w:val="0"/>
      <w:divBdr>
        <w:top w:val="none" w:sz="0" w:space="0" w:color="auto"/>
        <w:left w:val="none" w:sz="0" w:space="0" w:color="auto"/>
        <w:bottom w:val="none" w:sz="0" w:space="0" w:color="auto"/>
        <w:right w:val="none" w:sz="0" w:space="0" w:color="auto"/>
      </w:divBdr>
    </w:div>
    <w:div w:id="1898778280">
      <w:bodyDiv w:val="1"/>
      <w:marLeft w:val="0"/>
      <w:marRight w:val="0"/>
      <w:marTop w:val="0"/>
      <w:marBottom w:val="0"/>
      <w:divBdr>
        <w:top w:val="none" w:sz="0" w:space="0" w:color="auto"/>
        <w:left w:val="none" w:sz="0" w:space="0" w:color="auto"/>
        <w:bottom w:val="none" w:sz="0" w:space="0" w:color="auto"/>
        <w:right w:val="none" w:sz="0" w:space="0" w:color="auto"/>
      </w:divBdr>
    </w:div>
    <w:div w:id="1964190922">
      <w:bodyDiv w:val="1"/>
      <w:marLeft w:val="0"/>
      <w:marRight w:val="0"/>
      <w:marTop w:val="0"/>
      <w:marBottom w:val="0"/>
      <w:divBdr>
        <w:top w:val="none" w:sz="0" w:space="0" w:color="auto"/>
        <w:left w:val="none" w:sz="0" w:space="0" w:color="auto"/>
        <w:bottom w:val="none" w:sz="0" w:space="0" w:color="auto"/>
        <w:right w:val="none" w:sz="0" w:space="0" w:color="auto"/>
      </w:divBdr>
    </w:div>
    <w:div w:id="21322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FD%20and%20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Comparing Development Expenditure with RD and FD</a:t>
            </a:r>
          </a:p>
        </c:rich>
      </c:tx>
      <c:overlay val="0"/>
    </c:title>
    <c:autoTitleDeleted val="0"/>
    <c:plotArea>
      <c:layout/>
      <c:lineChart>
        <c:grouping val="stacked"/>
        <c:varyColors val="0"/>
        <c:ser>
          <c:idx val="0"/>
          <c:order val="0"/>
          <c:tx>
            <c:strRef>
              <c:f>Sheet2!$D$14</c:f>
              <c:strCache>
                <c:ptCount val="1"/>
                <c:pt idx="0">
                  <c:v>FD/GSDP</c:v>
                </c:pt>
              </c:strCache>
            </c:strRef>
          </c:tx>
          <c:cat>
            <c:strRef>
              <c:f>Sheet2!$C$15:$C$38</c:f>
              <c:strCache>
                <c:ptCount val="24"/>
                <c:pt idx="0">
                  <c:v>1990-91</c:v>
                </c:pt>
                <c:pt idx="1">
                  <c:v>1991-02</c:v>
                </c:pt>
                <c:pt idx="2">
                  <c:v>1992-93</c:v>
                </c:pt>
                <c:pt idx="3">
                  <c:v>1993-94</c:v>
                </c:pt>
                <c:pt idx="4">
                  <c:v>1994-95</c:v>
                </c:pt>
                <c:pt idx="5">
                  <c:v>1995-96</c:v>
                </c:pt>
                <c:pt idx="6">
                  <c:v>1996-97</c:v>
                </c:pt>
                <c:pt idx="7">
                  <c:v>1997-98</c:v>
                </c:pt>
                <c:pt idx="8">
                  <c:v>1998-99</c:v>
                </c:pt>
                <c:pt idx="9">
                  <c:v>1999-2000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strCache>
            </c:strRef>
          </c:cat>
          <c:val>
            <c:numRef>
              <c:f>Sheet2!$D$15:$D$38</c:f>
              <c:numCache>
                <c:formatCode>General</c:formatCode>
                <c:ptCount val="24"/>
                <c:pt idx="0">
                  <c:v>4</c:v>
                </c:pt>
                <c:pt idx="1">
                  <c:v>3.3</c:v>
                </c:pt>
                <c:pt idx="2">
                  <c:v>2.6</c:v>
                </c:pt>
                <c:pt idx="3">
                  <c:v>3</c:v>
                </c:pt>
                <c:pt idx="4">
                  <c:v>2.9</c:v>
                </c:pt>
                <c:pt idx="5">
                  <c:v>2.8</c:v>
                </c:pt>
                <c:pt idx="6">
                  <c:v>2.9</c:v>
                </c:pt>
                <c:pt idx="7">
                  <c:v>4.0999999999999996</c:v>
                </c:pt>
                <c:pt idx="8">
                  <c:v>6</c:v>
                </c:pt>
                <c:pt idx="9">
                  <c:v>4.9000000000000004</c:v>
                </c:pt>
                <c:pt idx="10">
                  <c:v>4</c:v>
                </c:pt>
                <c:pt idx="11">
                  <c:v>5.3</c:v>
                </c:pt>
                <c:pt idx="12">
                  <c:v>5.3</c:v>
                </c:pt>
                <c:pt idx="13">
                  <c:v>3.6</c:v>
                </c:pt>
                <c:pt idx="14">
                  <c:v>3.7</c:v>
                </c:pt>
                <c:pt idx="15">
                  <c:v>3.1</c:v>
                </c:pt>
                <c:pt idx="16">
                  <c:v>2.2999999999999998</c:v>
                </c:pt>
                <c:pt idx="17">
                  <c:v>3.4</c:v>
                </c:pt>
                <c:pt idx="18">
                  <c:v>3.1</c:v>
                </c:pt>
                <c:pt idx="19">
                  <c:v>3.4</c:v>
                </c:pt>
                <c:pt idx="20">
                  <c:v>2.9</c:v>
                </c:pt>
                <c:pt idx="21">
                  <c:v>3.6</c:v>
                </c:pt>
                <c:pt idx="22">
                  <c:v>3.9</c:v>
                </c:pt>
                <c:pt idx="23">
                  <c:v>4</c:v>
                </c:pt>
              </c:numCache>
            </c:numRef>
          </c:val>
          <c:smooth val="0"/>
        </c:ser>
        <c:ser>
          <c:idx val="1"/>
          <c:order val="1"/>
          <c:tx>
            <c:strRef>
              <c:f>Sheet2!$E$14</c:f>
              <c:strCache>
                <c:ptCount val="1"/>
                <c:pt idx="0">
                  <c:v>RD/GSDP</c:v>
                </c:pt>
              </c:strCache>
            </c:strRef>
          </c:tx>
          <c:cat>
            <c:strRef>
              <c:f>Sheet2!$C$15:$C$38</c:f>
              <c:strCache>
                <c:ptCount val="24"/>
                <c:pt idx="0">
                  <c:v>1990-91</c:v>
                </c:pt>
                <c:pt idx="1">
                  <c:v>1991-02</c:v>
                </c:pt>
                <c:pt idx="2">
                  <c:v>1992-93</c:v>
                </c:pt>
                <c:pt idx="3">
                  <c:v>1993-94</c:v>
                </c:pt>
                <c:pt idx="4">
                  <c:v>1994-95</c:v>
                </c:pt>
                <c:pt idx="5">
                  <c:v>1995-96</c:v>
                </c:pt>
                <c:pt idx="6">
                  <c:v>1996-97</c:v>
                </c:pt>
                <c:pt idx="7">
                  <c:v>1997-98</c:v>
                </c:pt>
                <c:pt idx="8">
                  <c:v>1998-99</c:v>
                </c:pt>
                <c:pt idx="9">
                  <c:v>1999-2000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strCache>
            </c:strRef>
          </c:cat>
          <c:val>
            <c:numRef>
              <c:f>Sheet2!$E$15:$E$38</c:f>
              <c:numCache>
                <c:formatCode>General</c:formatCode>
                <c:ptCount val="24"/>
                <c:pt idx="0">
                  <c:v>2.1</c:v>
                </c:pt>
                <c:pt idx="1">
                  <c:v>1.5</c:v>
                </c:pt>
                <c:pt idx="2">
                  <c:v>1.2</c:v>
                </c:pt>
                <c:pt idx="3">
                  <c:v>1.2</c:v>
                </c:pt>
                <c:pt idx="4">
                  <c:v>1.1000000000000001</c:v>
                </c:pt>
                <c:pt idx="5">
                  <c:v>0.9</c:v>
                </c:pt>
                <c:pt idx="6">
                  <c:v>1.2</c:v>
                </c:pt>
                <c:pt idx="7">
                  <c:v>1.9000000000000001</c:v>
                </c:pt>
                <c:pt idx="8">
                  <c:v>3</c:v>
                </c:pt>
                <c:pt idx="9">
                  <c:v>4.5</c:v>
                </c:pt>
                <c:pt idx="10">
                  <c:v>4.8</c:v>
                </c:pt>
                <c:pt idx="11">
                  <c:v>4</c:v>
                </c:pt>
                <c:pt idx="12">
                  <c:v>3.1</c:v>
                </c:pt>
                <c:pt idx="13">
                  <c:v>4.4000000000000004</c:v>
                </c:pt>
                <c:pt idx="14">
                  <c:v>3.5</c:v>
                </c:pt>
                <c:pt idx="15">
                  <c:v>3.1</c:v>
                </c:pt>
                <c:pt idx="16">
                  <c:v>1.7000000000000002</c:v>
                </c:pt>
                <c:pt idx="17">
                  <c:v>2.4</c:v>
                </c:pt>
                <c:pt idx="18">
                  <c:v>2.1</c:v>
                </c:pt>
                <c:pt idx="19">
                  <c:v>1.8</c:v>
                </c:pt>
                <c:pt idx="20">
                  <c:v>2.2000000000000002</c:v>
                </c:pt>
                <c:pt idx="21">
                  <c:v>1.4</c:v>
                </c:pt>
                <c:pt idx="22">
                  <c:v>1.7000000000000002</c:v>
                </c:pt>
                <c:pt idx="23">
                  <c:v>1.5</c:v>
                </c:pt>
              </c:numCache>
            </c:numRef>
          </c:val>
          <c:smooth val="0"/>
        </c:ser>
        <c:ser>
          <c:idx val="2"/>
          <c:order val="2"/>
          <c:tx>
            <c:strRef>
              <c:f>Sheet2!$F$14</c:f>
              <c:strCache>
                <c:ptCount val="1"/>
                <c:pt idx="0">
                  <c:v>development expenditure/GSDP</c:v>
                </c:pt>
              </c:strCache>
            </c:strRef>
          </c:tx>
          <c:cat>
            <c:strRef>
              <c:f>Sheet2!$C$15:$C$38</c:f>
              <c:strCache>
                <c:ptCount val="24"/>
                <c:pt idx="0">
                  <c:v>1990-91</c:v>
                </c:pt>
                <c:pt idx="1">
                  <c:v>1991-02</c:v>
                </c:pt>
                <c:pt idx="2">
                  <c:v>1992-93</c:v>
                </c:pt>
                <c:pt idx="3">
                  <c:v>1993-94</c:v>
                </c:pt>
                <c:pt idx="4">
                  <c:v>1994-95</c:v>
                </c:pt>
                <c:pt idx="5">
                  <c:v>1995-96</c:v>
                </c:pt>
                <c:pt idx="6">
                  <c:v>1996-97</c:v>
                </c:pt>
                <c:pt idx="7">
                  <c:v>1997-98</c:v>
                </c:pt>
                <c:pt idx="8">
                  <c:v>1998-99</c:v>
                </c:pt>
                <c:pt idx="9">
                  <c:v>1999-2000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strCache>
            </c:strRef>
          </c:cat>
          <c:val>
            <c:numRef>
              <c:f>Sheet2!$F$15:$F$38</c:f>
              <c:numCache>
                <c:formatCode>General</c:formatCode>
                <c:ptCount val="24"/>
                <c:pt idx="0">
                  <c:v>10.200000000000001</c:v>
                </c:pt>
                <c:pt idx="1">
                  <c:v>9.2000000000000011</c:v>
                </c:pt>
                <c:pt idx="2">
                  <c:v>9.1</c:v>
                </c:pt>
                <c:pt idx="3">
                  <c:v>9.3000000000000007</c:v>
                </c:pt>
                <c:pt idx="4">
                  <c:v>9.1</c:v>
                </c:pt>
                <c:pt idx="5">
                  <c:v>8.6</c:v>
                </c:pt>
                <c:pt idx="6">
                  <c:v>8.7000000000000011</c:v>
                </c:pt>
                <c:pt idx="7">
                  <c:v>9.6</c:v>
                </c:pt>
                <c:pt idx="8">
                  <c:v>9.2000000000000011</c:v>
                </c:pt>
                <c:pt idx="9">
                  <c:v>9.5</c:v>
                </c:pt>
                <c:pt idx="10">
                  <c:v>8.8000000000000007</c:v>
                </c:pt>
                <c:pt idx="11">
                  <c:v>7.7</c:v>
                </c:pt>
                <c:pt idx="12">
                  <c:v>9.2000000000000011</c:v>
                </c:pt>
                <c:pt idx="13">
                  <c:v>8.2000000000000011</c:v>
                </c:pt>
                <c:pt idx="14">
                  <c:v>8.2000000000000011</c:v>
                </c:pt>
                <c:pt idx="15">
                  <c:v>7.6</c:v>
                </c:pt>
                <c:pt idx="16">
                  <c:v>6.4</c:v>
                </c:pt>
                <c:pt idx="17">
                  <c:v>6.7</c:v>
                </c:pt>
                <c:pt idx="18">
                  <c:v>7.3</c:v>
                </c:pt>
                <c:pt idx="19">
                  <c:v>6.5</c:v>
                </c:pt>
                <c:pt idx="20">
                  <c:v>7.7</c:v>
                </c:pt>
                <c:pt idx="21">
                  <c:v>7.8</c:v>
                </c:pt>
                <c:pt idx="22">
                  <c:v>7.6</c:v>
                </c:pt>
                <c:pt idx="23">
                  <c:v>8</c:v>
                </c:pt>
              </c:numCache>
            </c:numRef>
          </c:val>
          <c:smooth val="0"/>
        </c:ser>
        <c:dLbls>
          <c:showLegendKey val="0"/>
          <c:showVal val="1"/>
          <c:showCatName val="0"/>
          <c:showSerName val="0"/>
          <c:showPercent val="0"/>
          <c:showBubbleSize val="0"/>
        </c:dLbls>
        <c:marker val="1"/>
        <c:smooth val="0"/>
        <c:axId val="162175616"/>
        <c:axId val="162232192"/>
      </c:lineChart>
      <c:catAx>
        <c:axId val="162175616"/>
        <c:scaling>
          <c:orientation val="minMax"/>
        </c:scaling>
        <c:delete val="0"/>
        <c:axPos val="b"/>
        <c:majorTickMark val="none"/>
        <c:minorTickMark val="none"/>
        <c:tickLblPos val="nextTo"/>
        <c:crossAx val="162232192"/>
        <c:crosses val="autoZero"/>
        <c:auto val="1"/>
        <c:lblAlgn val="ctr"/>
        <c:lblOffset val="100"/>
        <c:noMultiLvlLbl val="0"/>
      </c:catAx>
      <c:valAx>
        <c:axId val="162232192"/>
        <c:scaling>
          <c:orientation val="minMax"/>
        </c:scaling>
        <c:delete val="1"/>
        <c:axPos val="l"/>
        <c:numFmt formatCode="General" sourceLinked="1"/>
        <c:majorTickMark val="out"/>
        <c:minorTickMark val="none"/>
        <c:tickLblPos val="nextTo"/>
        <c:crossAx val="162175616"/>
        <c:crosses val="autoZero"/>
        <c:crossBetween val="between"/>
      </c:valAx>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Pauline Journal of Studies and Research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A374D1-D882-4996-85F7-ECBB2B3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user</cp:lastModifiedBy>
  <cp:revision>8</cp:revision>
  <cp:lastPrinted>2015-06-07T18:39:00Z</cp:lastPrinted>
  <dcterms:created xsi:type="dcterms:W3CDTF">2015-04-06T03:59:00Z</dcterms:created>
  <dcterms:modified xsi:type="dcterms:W3CDTF">2015-06-07T18:39:00Z</dcterms:modified>
</cp:coreProperties>
</file>