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BD" w:rsidRPr="005F73BD" w:rsidRDefault="005F73BD" w:rsidP="005F73BD">
      <w:pPr>
        <w:spacing w:after="0" w:line="360" w:lineRule="auto"/>
        <w:jc w:val="center"/>
        <w:rPr>
          <w:rFonts w:ascii="Times New Roman" w:hAnsi="Times New Roman" w:cs="Times New Roman"/>
          <w:b/>
          <w:bCs/>
        </w:rPr>
      </w:pPr>
      <w:bookmarkStart w:id="0" w:name="_GoBack"/>
      <w:bookmarkEnd w:id="0"/>
      <w:r w:rsidRPr="005F73BD">
        <w:rPr>
          <w:rFonts w:ascii="Times New Roman" w:hAnsi="Times New Roman" w:cs="Times New Roman"/>
          <w:b/>
          <w:bCs/>
        </w:rPr>
        <w:t>CONSUMPTIONS PATTERN AMONG SELECTED RURAL AND URBAN HOUSEHOLD IN KASARGODE DISTRICT</w:t>
      </w:r>
    </w:p>
    <w:p w:rsidR="00E11E1E" w:rsidRDefault="00E11E1E" w:rsidP="000E4885">
      <w:pPr>
        <w:spacing w:after="0" w:line="360" w:lineRule="auto"/>
        <w:jc w:val="center"/>
        <w:rPr>
          <w:rFonts w:ascii="Times New Roman" w:hAnsi="Times New Roman" w:cs="Times New Roman"/>
          <w:b/>
          <w:sz w:val="28"/>
          <w:szCs w:val="28"/>
        </w:rPr>
      </w:pPr>
    </w:p>
    <w:p w:rsidR="00134087" w:rsidRPr="00134087" w:rsidRDefault="005F73BD" w:rsidP="00134087">
      <w:pPr>
        <w:spacing w:after="0" w:line="360" w:lineRule="auto"/>
        <w:jc w:val="center"/>
        <w:rPr>
          <w:rFonts w:ascii="Times New Roman" w:hAnsi="Times New Roman" w:cs="Times New Roman"/>
          <w:b/>
          <w:bCs/>
          <w:lang w:val="en-US"/>
        </w:rPr>
      </w:pPr>
      <w:r w:rsidRPr="00C92FD3">
        <w:rPr>
          <w:rFonts w:ascii="Times New Roman" w:hAnsi="Times New Roman"/>
          <w:b/>
        </w:rPr>
        <w:t xml:space="preserve">K. Antony </w:t>
      </w:r>
      <w:proofErr w:type="spellStart"/>
      <w:r w:rsidRPr="00C92FD3">
        <w:rPr>
          <w:rFonts w:ascii="Times New Roman" w:hAnsi="Times New Roman"/>
          <w:b/>
        </w:rPr>
        <w:t>Akhil</w:t>
      </w:r>
      <w:proofErr w:type="spellEnd"/>
      <w:r w:rsidRPr="00C92FD3">
        <w:rPr>
          <w:rFonts w:ascii="Times New Roman" w:hAnsi="Times New Roman"/>
          <w:b/>
        </w:rPr>
        <w:t xml:space="preserve"> and </w:t>
      </w:r>
      <w:proofErr w:type="spellStart"/>
      <w:r w:rsidRPr="00C92FD3">
        <w:rPr>
          <w:rFonts w:ascii="Times New Roman" w:hAnsi="Times New Roman"/>
          <w:b/>
        </w:rPr>
        <w:t>Rasmi</w:t>
      </w:r>
      <w:proofErr w:type="spellEnd"/>
      <w:r w:rsidRPr="00C92FD3">
        <w:rPr>
          <w:rFonts w:ascii="Times New Roman" w:hAnsi="Times New Roman"/>
          <w:b/>
        </w:rPr>
        <w:t xml:space="preserve"> </w:t>
      </w:r>
      <w:proofErr w:type="spellStart"/>
      <w:r w:rsidRPr="00C92FD3">
        <w:rPr>
          <w:rFonts w:ascii="Times New Roman" w:hAnsi="Times New Roman"/>
          <w:b/>
        </w:rPr>
        <w:t>Sasidharan</w:t>
      </w:r>
      <w:proofErr w:type="spellEnd"/>
      <w:r w:rsidRPr="00C92FD3">
        <w:rPr>
          <w:rFonts w:ascii="Times New Roman" w:hAnsi="Times New Roman"/>
          <w:b/>
        </w:rPr>
        <w:t xml:space="preserve"> N</w:t>
      </w:r>
      <w:r w:rsidR="00134087">
        <w:rPr>
          <w:rFonts w:ascii="Times New Roman" w:hAnsi="Times New Roman" w:cs="Times New Roman"/>
          <w:b/>
          <w:bCs/>
          <w:lang w:val="en-US"/>
        </w:rPr>
        <w:t xml:space="preserve"> </w:t>
      </w:r>
    </w:p>
    <w:p w:rsidR="005F73BD" w:rsidRPr="005F73BD" w:rsidRDefault="005F73BD" w:rsidP="005F73BD">
      <w:pPr>
        <w:spacing w:after="0" w:line="360" w:lineRule="auto"/>
        <w:jc w:val="center"/>
        <w:rPr>
          <w:rFonts w:ascii="Times New Roman" w:hAnsi="Times New Roman" w:cs="Times New Roman"/>
          <w:sz w:val="20"/>
          <w:szCs w:val="20"/>
          <w:lang w:val="en-US"/>
        </w:rPr>
      </w:pPr>
      <w:r w:rsidRPr="005F73BD">
        <w:rPr>
          <w:rFonts w:ascii="Times New Roman" w:hAnsi="Times New Roman" w:cs="Times New Roman"/>
          <w:sz w:val="20"/>
          <w:szCs w:val="20"/>
          <w:lang w:val="en-US"/>
        </w:rPr>
        <w:t xml:space="preserve">Research Scholars, Central University of Kerala, </w:t>
      </w:r>
      <w:proofErr w:type="spellStart"/>
      <w:r w:rsidRPr="005F73BD">
        <w:rPr>
          <w:rFonts w:ascii="Times New Roman" w:hAnsi="Times New Roman" w:cs="Times New Roman"/>
          <w:sz w:val="20"/>
          <w:szCs w:val="20"/>
          <w:lang w:val="en-US"/>
        </w:rPr>
        <w:t>Kasargode</w:t>
      </w:r>
      <w:proofErr w:type="spellEnd"/>
    </w:p>
    <w:p w:rsidR="00F41570" w:rsidRPr="00E11E1E" w:rsidRDefault="00F41570" w:rsidP="00E11E1E">
      <w:pPr>
        <w:spacing w:after="0" w:line="360" w:lineRule="auto"/>
        <w:jc w:val="center"/>
        <w:rPr>
          <w:rFonts w:ascii="Times New Roman" w:hAnsi="Times New Roman" w:cs="Times New Roman"/>
          <w:b/>
          <w:sz w:val="20"/>
          <w:szCs w:val="20"/>
        </w:rPr>
      </w:pPr>
    </w:p>
    <w:p w:rsidR="000E4885" w:rsidRDefault="00027409" w:rsidP="00134087">
      <w:pPr>
        <w:spacing w:after="120" w:line="360" w:lineRule="auto"/>
        <w:jc w:val="center"/>
        <w:rPr>
          <w:rFonts w:ascii="Times New Roman" w:hAnsi="Times New Roman" w:cs="Times New Roman"/>
          <w:b/>
        </w:rPr>
      </w:pPr>
      <w:r>
        <w:rPr>
          <w:rFonts w:ascii="Times New Roman" w:hAnsi="Times New Roman" w:cs="Times New Roman"/>
          <w:b/>
        </w:rPr>
        <w:t>Abstract</w:t>
      </w:r>
    </w:p>
    <w:p w:rsidR="005F73BD" w:rsidRPr="005F73BD" w:rsidRDefault="005F73BD" w:rsidP="005F73BD">
      <w:pPr>
        <w:spacing w:after="120" w:line="360" w:lineRule="auto"/>
        <w:jc w:val="both"/>
        <w:rPr>
          <w:rFonts w:ascii="Times New Roman" w:hAnsi="Times New Roman" w:cs="Times New Roman"/>
          <w:i/>
          <w:lang w:val="en-US"/>
        </w:rPr>
      </w:pPr>
      <w:r w:rsidRPr="005F73BD">
        <w:rPr>
          <w:rFonts w:ascii="Times New Roman" w:hAnsi="Times New Roman" w:cs="Times New Roman"/>
          <w:i/>
          <w:lang w:val="en-US"/>
        </w:rPr>
        <w:t>Consumption is a part and parcel of human life. It enlarges the capabilities and enriches the life of people without adversely affecting the well-being of others. However, there exist large disparities in consumption standards between regions and between different classes of people. As a matter of fact, the inequalities that persist between rich and poor, rural and urban, and between different social gr</w:t>
      </w:r>
      <w:r>
        <w:rPr>
          <w:rFonts w:ascii="Times New Roman" w:hAnsi="Times New Roman" w:cs="Times New Roman"/>
          <w:i/>
          <w:lang w:val="en-US"/>
        </w:rPr>
        <w:t>oups are inter-related and over</w:t>
      </w:r>
      <w:r w:rsidRPr="005F73BD">
        <w:rPr>
          <w:rFonts w:ascii="Times New Roman" w:hAnsi="Times New Roman" w:cs="Times New Roman"/>
          <w:i/>
          <w:lang w:val="en-US"/>
        </w:rPr>
        <w:t xml:space="preserve">lapping. </w:t>
      </w:r>
    </w:p>
    <w:p w:rsidR="005F73BD" w:rsidRPr="00BD3D13" w:rsidRDefault="005F73BD" w:rsidP="005F73BD">
      <w:pPr>
        <w:spacing w:after="120" w:line="360" w:lineRule="auto"/>
        <w:rPr>
          <w:rFonts w:ascii="Times New Roman" w:hAnsi="Times New Roman"/>
          <w:b/>
        </w:rPr>
      </w:pPr>
      <w:r>
        <w:rPr>
          <w:rFonts w:ascii="Times New Roman" w:hAnsi="Times New Roman"/>
          <w:b/>
        </w:rPr>
        <w:t>1.0 I</w:t>
      </w:r>
      <w:r w:rsidRPr="00502334">
        <w:rPr>
          <w:rFonts w:ascii="Times New Roman" w:hAnsi="Times New Roman"/>
          <w:b/>
        </w:rPr>
        <w:t>ntroduction</w:t>
      </w:r>
    </w:p>
    <w:p w:rsidR="005F73BD" w:rsidRPr="00502334" w:rsidRDefault="005F73BD" w:rsidP="005F73BD">
      <w:pPr>
        <w:spacing w:after="120" w:line="360" w:lineRule="auto"/>
        <w:jc w:val="both"/>
        <w:rPr>
          <w:rFonts w:ascii="Times New Roman" w:hAnsi="Times New Roman"/>
        </w:rPr>
      </w:pPr>
      <w:r w:rsidRPr="00502334">
        <w:rPr>
          <w:rFonts w:ascii="Times New Roman" w:hAnsi="Times New Roman"/>
        </w:rPr>
        <w:t xml:space="preserve">The pattern of consumption of people throws some light on their economic </w:t>
      </w:r>
      <w:r w:rsidR="00045AB0" w:rsidRPr="00502334">
        <w:rPr>
          <w:rFonts w:ascii="Times New Roman" w:hAnsi="Times New Roman"/>
        </w:rPr>
        <w:t>well-being</w:t>
      </w:r>
      <w:r w:rsidRPr="00502334">
        <w:rPr>
          <w:rFonts w:ascii="Times New Roman" w:hAnsi="Times New Roman"/>
        </w:rPr>
        <w:t xml:space="preserve"> by bringing out the relative importance of various items and group of item in the total scheme of their consumption. The poor must devote a large part of their expenditure to food so that little is left for anything else. The more affluent a society is the more diversified is its consumption expenditure over necessities, comforts and luxuries. A society living on a subsistence level will exhaust all its resources over primary necessities and little will be left for what may be called secondary necessities like housing, medical aid etc. Apart from these, there exists diversification in food consumption, especially from cereals to non-cereals </w:t>
      </w:r>
      <w:proofErr w:type="gramStart"/>
      <w:r w:rsidRPr="00502334">
        <w:rPr>
          <w:rFonts w:ascii="Times New Roman" w:hAnsi="Times New Roman"/>
        </w:rPr>
        <w:lastRenderedPageBreak/>
        <w:t>such</w:t>
      </w:r>
      <w:proofErr w:type="gramEnd"/>
      <w:r w:rsidRPr="00502334">
        <w:rPr>
          <w:rFonts w:ascii="Times New Roman" w:hAnsi="Times New Roman"/>
        </w:rPr>
        <w:t xml:space="preserve"> as milk and milk products, edible oils, fruits and vegetables. This diversification is more apparent in rural India as compared to urban areas. </w:t>
      </w:r>
      <w:proofErr w:type="spellStart"/>
      <w:r w:rsidRPr="00502334">
        <w:rPr>
          <w:rFonts w:ascii="Times New Roman" w:hAnsi="Times New Roman"/>
        </w:rPr>
        <w:t>Kasaragod</w:t>
      </w:r>
      <w:proofErr w:type="spellEnd"/>
      <w:r w:rsidRPr="00502334">
        <w:rPr>
          <w:rFonts w:ascii="Times New Roman" w:hAnsi="Times New Roman"/>
        </w:rPr>
        <w:t xml:space="preserve"> being one of the backward districts of Kerala, the study of consumption pattern across rural and urban households assumes great significance.  </w:t>
      </w:r>
    </w:p>
    <w:p w:rsidR="005F73BD" w:rsidRPr="00502334" w:rsidRDefault="005F73BD" w:rsidP="005F73BD">
      <w:pPr>
        <w:spacing w:after="120" w:line="360" w:lineRule="auto"/>
        <w:rPr>
          <w:rFonts w:ascii="Times New Roman" w:hAnsi="Times New Roman"/>
          <w:b/>
        </w:rPr>
      </w:pPr>
      <w:r>
        <w:rPr>
          <w:rFonts w:ascii="Times New Roman" w:hAnsi="Times New Roman"/>
          <w:b/>
        </w:rPr>
        <w:t>1.1 Objective of the S</w:t>
      </w:r>
      <w:r w:rsidRPr="00502334">
        <w:rPr>
          <w:rFonts w:ascii="Times New Roman" w:hAnsi="Times New Roman"/>
          <w:b/>
        </w:rPr>
        <w:t>tudy</w:t>
      </w:r>
    </w:p>
    <w:p w:rsidR="005F73BD" w:rsidRPr="00502334" w:rsidRDefault="005F73BD" w:rsidP="005F73BD">
      <w:pPr>
        <w:pStyle w:val="ListParagraph"/>
        <w:numPr>
          <w:ilvl w:val="0"/>
          <w:numId w:val="8"/>
        </w:numPr>
        <w:spacing w:after="120" w:line="360" w:lineRule="auto"/>
        <w:contextualSpacing w:val="0"/>
        <w:jc w:val="both"/>
        <w:rPr>
          <w:rFonts w:ascii="Times New Roman" w:hAnsi="Times New Roman"/>
        </w:rPr>
      </w:pPr>
      <w:r w:rsidRPr="00502334">
        <w:rPr>
          <w:rFonts w:ascii="Times New Roman" w:hAnsi="Times New Roman"/>
        </w:rPr>
        <w:t xml:space="preserve">To examine consumption pattern among the rural and urban households in </w:t>
      </w:r>
      <w:proofErr w:type="spellStart"/>
      <w:r w:rsidRPr="00502334">
        <w:rPr>
          <w:rFonts w:ascii="Times New Roman" w:hAnsi="Times New Roman"/>
        </w:rPr>
        <w:t>Kasaragod</w:t>
      </w:r>
      <w:proofErr w:type="spellEnd"/>
      <w:r w:rsidRPr="00502334">
        <w:rPr>
          <w:rFonts w:ascii="Times New Roman" w:hAnsi="Times New Roman"/>
        </w:rPr>
        <w:t xml:space="preserve"> District.</w:t>
      </w:r>
    </w:p>
    <w:p w:rsidR="005F73BD" w:rsidRPr="005F73BD" w:rsidRDefault="005F73BD" w:rsidP="005F73BD">
      <w:pPr>
        <w:pStyle w:val="ListParagraph"/>
        <w:numPr>
          <w:ilvl w:val="0"/>
          <w:numId w:val="8"/>
        </w:numPr>
        <w:spacing w:after="120" w:line="360" w:lineRule="auto"/>
        <w:contextualSpacing w:val="0"/>
        <w:jc w:val="both"/>
        <w:rPr>
          <w:rFonts w:ascii="Times New Roman" w:hAnsi="Times New Roman"/>
        </w:rPr>
      </w:pPr>
      <w:r w:rsidRPr="00502334">
        <w:rPr>
          <w:rFonts w:ascii="Times New Roman" w:hAnsi="Times New Roman"/>
        </w:rPr>
        <w:t xml:space="preserve">To identify the determinants of consumption </w:t>
      </w:r>
      <w:proofErr w:type="spellStart"/>
      <w:r w:rsidRPr="00502334">
        <w:rPr>
          <w:rFonts w:ascii="Times New Roman" w:hAnsi="Times New Roman"/>
        </w:rPr>
        <w:t>behaviour</w:t>
      </w:r>
      <w:proofErr w:type="spellEnd"/>
      <w:r w:rsidRPr="00502334">
        <w:rPr>
          <w:rFonts w:ascii="Times New Roman" w:hAnsi="Times New Roman"/>
        </w:rPr>
        <w:t xml:space="preserve"> in </w:t>
      </w:r>
      <w:proofErr w:type="spellStart"/>
      <w:r w:rsidRPr="00502334">
        <w:rPr>
          <w:rFonts w:ascii="Times New Roman" w:hAnsi="Times New Roman"/>
        </w:rPr>
        <w:t>Kasaragod</w:t>
      </w:r>
      <w:proofErr w:type="spellEnd"/>
      <w:r w:rsidRPr="00502334">
        <w:rPr>
          <w:rFonts w:ascii="Times New Roman" w:hAnsi="Times New Roman"/>
        </w:rPr>
        <w:t xml:space="preserve"> District. </w:t>
      </w:r>
    </w:p>
    <w:p w:rsidR="005F73BD" w:rsidRPr="00502334" w:rsidRDefault="005F73BD" w:rsidP="005F73BD">
      <w:pPr>
        <w:spacing w:after="120" w:line="360" w:lineRule="auto"/>
        <w:jc w:val="both"/>
        <w:rPr>
          <w:rFonts w:ascii="Times New Roman" w:hAnsi="Times New Roman"/>
          <w:b/>
        </w:rPr>
      </w:pPr>
      <w:r>
        <w:rPr>
          <w:rFonts w:ascii="Times New Roman" w:hAnsi="Times New Roman"/>
          <w:b/>
        </w:rPr>
        <w:t>1.2 H</w:t>
      </w:r>
      <w:r w:rsidRPr="00502334">
        <w:rPr>
          <w:rFonts w:ascii="Times New Roman" w:hAnsi="Times New Roman"/>
          <w:b/>
        </w:rPr>
        <w:t>ypotheses</w:t>
      </w:r>
    </w:p>
    <w:p w:rsidR="005F73BD" w:rsidRPr="00502334" w:rsidRDefault="005F73BD" w:rsidP="005F73BD">
      <w:pPr>
        <w:spacing w:after="120" w:line="360" w:lineRule="auto"/>
        <w:jc w:val="both"/>
        <w:rPr>
          <w:rFonts w:ascii="Times New Roman" w:hAnsi="Times New Roman"/>
        </w:rPr>
      </w:pPr>
      <w:r w:rsidRPr="00502334">
        <w:rPr>
          <w:rFonts w:ascii="Times New Roman" w:hAnsi="Times New Roman"/>
        </w:rPr>
        <w:t>As against the afore-mentioned objectives, the following hypotheses were formulated:</w:t>
      </w:r>
    </w:p>
    <w:p w:rsidR="005F73BD" w:rsidRPr="00502334" w:rsidRDefault="005F73BD" w:rsidP="005F73BD">
      <w:pPr>
        <w:pStyle w:val="ListParagraph"/>
        <w:numPr>
          <w:ilvl w:val="0"/>
          <w:numId w:val="9"/>
        </w:numPr>
        <w:spacing w:after="120" w:line="360" w:lineRule="auto"/>
        <w:contextualSpacing w:val="0"/>
        <w:jc w:val="both"/>
        <w:rPr>
          <w:rFonts w:ascii="Times New Roman" w:hAnsi="Times New Roman"/>
        </w:rPr>
      </w:pPr>
      <w:r w:rsidRPr="00502334">
        <w:rPr>
          <w:rFonts w:ascii="Times New Roman" w:hAnsi="Times New Roman"/>
        </w:rPr>
        <w:t>The average consumption expenditure showed significant differences across rural and urban households.</w:t>
      </w:r>
    </w:p>
    <w:p w:rsidR="005F73BD" w:rsidRPr="00502334" w:rsidRDefault="005F73BD" w:rsidP="005F73BD">
      <w:pPr>
        <w:pStyle w:val="ListParagraph"/>
        <w:numPr>
          <w:ilvl w:val="0"/>
          <w:numId w:val="9"/>
        </w:numPr>
        <w:spacing w:after="120" w:line="360" w:lineRule="auto"/>
        <w:contextualSpacing w:val="0"/>
        <w:jc w:val="both"/>
        <w:rPr>
          <w:rFonts w:ascii="Times New Roman" w:hAnsi="Times New Roman"/>
        </w:rPr>
      </w:pPr>
      <w:r w:rsidRPr="00502334">
        <w:rPr>
          <w:rFonts w:ascii="Times New Roman" w:hAnsi="Times New Roman"/>
        </w:rPr>
        <w:t>Per capita monthly consumption expenditure is significantly associated with income, family size, occupation, religion, caste, location of the household, size and type of family.</w:t>
      </w:r>
    </w:p>
    <w:p w:rsidR="005F73BD" w:rsidRPr="00502334" w:rsidRDefault="005F73BD" w:rsidP="005F73BD">
      <w:pPr>
        <w:spacing w:after="120" w:line="360" w:lineRule="auto"/>
        <w:rPr>
          <w:rFonts w:ascii="Times New Roman" w:hAnsi="Times New Roman"/>
          <w:b/>
        </w:rPr>
      </w:pPr>
      <w:r>
        <w:rPr>
          <w:rFonts w:ascii="Times New Roman" w:hAnsi="Times New Roman"/>
          <w:b/>
        </w:rPr>
        <w:t>1.3 M</w:t>
      </w:r>
      <w:r w:rsidRPr="00502334">
        <w:rPr>
          <w:rFonts w:ascii="Times New Roman" w:hAnsi="Times New Roman"/>
          <w:b/>
        </w:rPr>
        <w:t>ethodology</w:t>
      </w:r>
    </w:p>
    <w:p w:rsidR="005F73BD" w:rsidRPr="00502334" w:rsidRDefault="005F73BD" w:rsidP="005F73BD">
      <w:pPr>
        <w:spacing w:after="120" w:line="360" w:lineRule="auto"/>
        <w:jc w:val="both"/>
        <w:rPr>
          <w:rFonts w:ascii="Times New Roman" w:hAnsi="Times New Roman"/>
        </w:rPr>
      </w:pPr>
      <w:r w:rsidRPr="00502334">
        <w:rPr>
          <w:rFonts w:ascii="Times New Roman" w:hAnsi="Times New Roman"/>
        </w:rPr>
        <w:t xml:space="preserve">Since the study aims to bring out the rural-urban differentials in the consumption and living standards of the households, </w:t>
      </w:r>
      <w:proofErr w:type="spellStart"/>
      <w:r w:rsidRPr="00502334">
        <w:rPr>
          <w:rFonts w:ascii="Times New Roman" w:hAnsi="Times New Roman"/>
        </w:rPr>
        <w:t>Kasaragod</w:t>
      </w:r>
      <w:proofErr w:type="spellEnd"/>
      <w:r w:rsidRPr="00502334">
        <w:rPr>
          <w:rFonts w:ascii="Times New Roman" w:hAnsi="Times New Roman"/>
        </w:rPr>
        <w:t xml:space="preserve"> district was selected as the area of the study. From the district, 50 households from </w:t>
      </w:r>
      <w:proofErr w:type="spellStart"/>
      <w:r w:rsidRPr="00502334">
        <w:rPr>
          <w:rFonts w:ascii="Times New Roman" w:hAnsi="Times New Roman"/>
        </w:rPr>
        <w:t>Edneer</w:t>
      </w:r>
      <w:proofErr w:type="spellEnd"/>
      <w:r w:rsidRPr="00502334">
        <w:rPr>
          <w:rFonts w:ascii="Times New Roman" w:hAnsi="Times New Roman"/>
        </w:rPr>
        <w:t xml:space="preserve"> village and 50 households from </w:t>
      </w:r>
      <w:proofErr w:type="spellStart"/>
      <w:r w:rsidRPr="00502334">
        <w:rPr>
          <w:rFonts w:ascii="Times New Roman" w:hAnsi="Times New Roman"/>
        </w:rPr>
        <w:t>Cherkala</w:t>
      </w:r>
      <w:proofErr w:type="spellEnd"/>
      <w:r w:rsidRPr="00502334">
        <w:rPr>
          <w:rFonts w:ascii="Times New Roman" w:hAnsi="Times New Roman"/>
        </w:rPr>
        <w:t xml:space="preserve"> town area were </w:t>
      </w:r>
      <w:r w:rsidRPr="00502334">
        <w:rPr>
          <w:rFonts w:ascii="Times New Roman" w:hAnsi="Times New Roman"/>
        </w:rPr>
        <w:lastRenderedPageBreak/>
        <w:t xml:space="preserve">selected by adopting purposive sampling technique. The field investigation was carried out during the period January to April 2012. Data collected was </w:t>
      </w:r>
      <w:proofErr w:type="spellStart"/>
      <w:r w:rsidRPr="00502334">
        <w:rPr>
          <w:rFonts w:ascii="Times New Roman" w:hAnsi="Times New Roman"/>
        </w:rPr>
        <w:t>analyzed</w:t>
      </w:r>
      <w:proofErr w:type="spellEnd"/>
      <w:r w:rsidRPr="00502334">
        <w:rPr>
          <w:rFonts w:ascii="Times New Roman" w:hAnsi="Times New Roman"/>
        </w:rPr>
        <w:t xml:space="preserve"> by using t-test and chi-square test.</w:t>
      </w:r>
    </w:p>
    <w:p w:rsidR="005F73BD" w:rsidRPr="00502334" w:rsidRDefault="005F73BD" w:rsidP="005F73BD">
      <w:pPr>
        <w:spacing w:after="120" w:line="360" w:lineRule="auto"/>
        <w:jc w:val="both"/>
        <w:rPr>
          <w:rFonts w:ascii="Times New Roman" w:hAnsi="Times New Roman"/>
          <w:b/>
        </w:rPr>
      </w:pPr>
      <w:r>
        <w:rPr>
          <w:rFonts w:ascii="Times New Roman" w:hAnsi="Times New Roman"/>
          <w:b/>
        </w:rPr>
        <w:t>1.4 Empirical F</w:t>
      </w:r>
      <w:r w:rsidRPr="00502334">
        <w:rPr>
          <w:rFonts w:ascii="Times New Roman" w:hAnsi="Times New Roman"/>
          <w:b/>
        </w:rPr>
        <w:t>indings</w:t>
      </w:r>
    </w:p>
    <w:p w:rsidR="005F73BD" w:rsidRPr="00502334" w:rsidRDefault="005F73BD" w:rsidP="005F73BD">
      <w:pPr>
        <w:spacing w:after="120" w:line="360" w:lineRule="auto"/>
        <w:jc w:val="both"/>
        <w:rPr>
          <w:rFonts w:ascii="Times New Roman" w:hAnsi="Times New Roman"/>
        </w:rPr>
      </w:pPr>
      <w:r w:rsidRPr="00502334">
        <w:rPr>
          <w:rFonts w:ascii="Times New Roman" w:hAnsi="Times New Roman"/>
        </w:rPr>
        <w:t>Table 1 exhibits the distribution of households in different expenditure classes. Instead of using household expenditure as the criterion of classification, we have used monthly per capita expenditure to account for the differences in family size.</w:t>
      </w:r>
    </w:p>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Table 1</w:t>
      </w:r>
    </w:p>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Frequency distribution of households in different monthly per capita expenditure classes</w:t>
      </w:r>
    </w:p>
    <w:tbl>
      <w:tblPr>
        <w:tblpPr w:leftFromText="180" w:rightFromText="180" w:vertAnchor="text" w:horzAnchor="margin" w:tblpXSpec="center" w:tblpY="287"/>
        <w:tblW w:w="7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951"/>
        <w:gridCol w:w="895"/>
        <w:gridCol w:w="1163"/>
        <w:gridCol w:w="951"/>
        <w:gridCol w:w="981"/>
        <w:gridCol w:w="1082"/>
      </w:tblGrid>
      <w:tr w:rsidR="005F73BD" w:rsidRPr="005F73BD" w:rsidTr="005F73BD">
        <w:trPr>
          <w:trHeight w:val="339"/>
        </w:trPr>
        <w:tc>
          <w:tcPr>
            <w:tcW w:w="1195" w:type="dxa"/>
            <w:vMerge w:val="restart"/>
            <w:vAlign w:val="center"/>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 xml:space="preserve">Expenditure class (in </w:t>
            </w:r>
            <w:proofErr w:type="spellStart"/>
            <w:r w:rsidRPr="005F73BD">
              <w:rPr>
                <w:rFonts w:ascii="Times New Roman" w:hAnsi="Times New Roman" w:cs="Times New Roman"/>
                <w:sz w:val="20"/>
                <w:szCs w:val="20"/>
              </w:rPr>
              <w:t>Rs</w:t>
            </w:r>
            <w:proofErr w:type="spellEnd"/>
            <w:r w:rsidRPr="005F73BD">
              <w:rPr>
                <w:rFonts w:ascii="Times New Roman" w:hAnsi="Times New Roman" w:cs="Times New Roman"/>
                <w:sz w:val="20"/>
                <w:szCs w:val="20"/>
              </w:rPr>
              <w:t>.)</w:t>
            </w:r>
          </w:p>
        </w:tc>
        <w:tc>
          <w:tcPr>
            <w:tcW w:w="3009" w:type="dxa"/>
            <w:gridSpan w:val="3"/>
            <w:vAlign w:val="center"/>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Rural</w:t>
            </w:r>
          </w:p>
        </w:tc>
        <w:tc>
          <w:tcPr>
            <w:tcW w:w="3014" w:type="dxa"/>
            <w:gridSpan w:val="3"/>
            <w:vAlign w:val="center"/>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Urban</w:t>
            </w:r>
          </w:p>
        </w:tc>
      </w:tr>
      <w:tr w:rsidR="005F73BD" w:rsidRPr="005F73BD" w:rsidTr="005F73BD">
        <w:trPr>
          <w:trHeight w:val="185"/>
        </w:trPr>
        <w:tc>
          <w:tcPr>
            <w:tcW w:w="1195" w:type="dxa"/>
            <w:vMerge/>
            <w:vAlign w:val="center"/>
          </w:tcPr>
          <w:p w:rsidR="005F73BD" w:rsidRPr="005F73BD" w:rsidRDefault="005F73BD" w:rsidP="005F73BD">
            <w:pPr>
              <w:spacing w:after="0" w:line="240" w:lineRule="auto"/>
              <w:jc w:val="center"/>
              <w:rPr>
                <w:rFonts w:ascii="Times New Roman" w:hAnsi="Times New Roman" w:cs="Times New Roman"/>
                <w:sz w:val="20"/>
                <w:szCs w:val="20"/>
              </w:rPr>
            </w:pPr>
          </w:p>
        </w:tc>
        <w:tc>
          <w:tcPr>
            <w:tcW w:w="951" w:type="dxa"/>
            <w:vAlign w:val="center"/>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Number</w:t>
            </w:r>
          </w:p>
        </w:tc>
        <w:tc>
          <w:tcPr>
            <w:tcW w:w="895" w:type="dxa"/>
            <w:vAlign w:val="center"/>
          </w:tcPr>
          <w:p w:rsidR="005F73BD" w:rsidRPr="005F73BD" w:rsidRDefault="005F73BD" w:rsidP="005F73BD">
            <w:pPr>
              <w:spacing w:after="0" w:line="240" w:lineRule="auto"/>
              <w:jc w:val="center"/>
              <w:rPr>
                <w:rFonts w:ascii="Times New Roman" w:hAnsi="Times New Roman" w:cs="Times New Roman"/>
                <w:sz w:val="20"/>
                <w:szCs w:val="20"/>
              </w:rPr>
            </w:pPr>
            <w:proofErr w:type="spellStart"/>
            <w:r w:rsidRPr="005F73BD">
              <w:rPr>
                <w:rFonts w:ascii="Times New Roman" w:hAnsi="Times New Roman" w:cs="Times New Roman"/>
                <w:sz w:val="20"/>
                <w:szCs w:val="20"/>
              </w:rPr>
              <w:t>Percent</w:t>
            </w:r>
            <w:proofErr w:type="spellEnd"/>
          </w:p>
        </w:tc>
        <w:tc>
          <w:tcPr>
            <w:tcW w:w="1163" w:type="dxa"/>
            <w:vAlign w:val="center"/>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Cumulative per cent</w:t>
            </w:r>
          </w:p>
        </w:tc>
        <w:tc>
          <w:tcPr>
            <w:tcW w:w="951" w:type="dxa"/>
            <w:vAlign w:val="center"/>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Number</w:t>
            </w:r>
          </w:p>
        </w:tc>
        <w:tc>
          <w:tcPr>
            <w:tcW w:w="981" w:type="dxa"/>
            <w:vAlign w:val="center"/>
          </w:tcPr>
          <w:p w:rsidR="005F73BD" w:rsidRPr="005F73BD" w:rsidRDefault="005F73BD" w:rsidP="005F73BD">
            <w:pPr>
              <w:spacing w:after="0" w:line="240" w:lineRule="auto"/>
              <w:jc w:val="center"/>
              <w:rPr>
                <w:rFonts w:ascii="Times New Roman" w:hAnsi="Times New Roman" w:cs="Times New Roman"/>
                <w:sz w:val="20"/>
                <w:szCs w:val="20"/>
              </w:rPr>
            </w:pPr>
            <w:proofErr w:type="spellStart"/>
            <w:r w:rsidRPr="005F73BD">
              <w:rPr>
                <w:rFonts w:ascii="Times New Roman" w:hAnsi="Times New Roman" w:cs="Times New Roman"/>
                <w:sz w:val="20"/>
                <w:szCs w:val="20"/>
              </w:rPr>
              <w:t>Percent</w:t>
            </w:r>
            <w:proofErr w:type="spellEnd"/>
          </w:p>
        </w:tc>
        <w:tc>
          <w:tcPr>
            <w:tcW w:w="1082" w:type="dxa"/>
            <w:vAlign w:val="center"/>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Cumulative per cent</w:t>
            </w:r>
          </w:p>
        </w:tc>
      </w:tr>
      <w:tr w:rsidR="005F73BD" w:rsidRPr="005F73BD" w:rsidTr="005F73BD">
        <w:trPr>
          <w:trHeight w:val="257"/>
        </w:trPr>
        <w:tc>
          <w:tcPr>
            <w:tcW w:w="11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0-1,000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5</w:t>
            </w:r>
          </w:p>
        </w:tc>
        <w:tc>
          <w:tcPr>
            <w:tcW w:w="8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10.0</w:t>
            </w:r>
          </w:p>
        </w:tc>
        <w:tc>
          <w:tcPr>
            <w:tcW w:w="1163"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10.0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2</w:t>
            </w:r>
          </w:p>
        </w:tc>
        <w:tc>
          <w:tcPr>
            <w:tcW w:w="98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4.0</w:t>
            </w:r>
          </w:p>
        </w:tc>
        <w:tc>
          <w:tcPr>
            <w:tcW w:w="1082"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4.0</w:t>
            </w:r>
          </w:p>
        </w:tc>
      </w:tr>
      <w:tr w:rsidR="005F73BD" w:rsidRPr="005F73BD" w:rsidTr="005F73BD">
        <w:trPr>
          <w:trHeight w:val="248"/>
        </w:trPr>
        <w:tc>
          <w:tcPr>
            <w:tcW w:w="11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1,000-2,000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25</w:t>
            </w:r>
          </w:p>
        </w:tc>
        <w:tc>
          <w:tcPr>
            <w:tcW w:w="8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50.0</w:t>
            </w:r>
          </w:p>
        </w:tc>
        <w:tc>
          <w:tcPr>
            <w:tcW w:w="1163"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60.0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12</w:t>
            </w:r>
          </w:p>
        </w:tc>
        <w:tc>
          <w:tcPr>
            <w:tcW w:w="98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24.0</w:t>
            </w:r>
          </w:p>
        </w:tc>
        <w:tc>
          <w:tcPr>
            <w:tcW w:w="1082"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28.0</w:t>
            </w:r>
          </w:p>
        </w:tc>
      </w:tr>
      <w:tr w:rsidR="005F73BD" w:rsidRPr="005F73BD" w:rsidTr="005F73BD">
        <w:trPr>
          <w:trHeight w:val="266"/>
        </w:trPr>
        <w:tc>
          <w:tcPr>
            <w:tcW w:w="11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2,000-3,000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14</w:t>
            </w:r>
          </w:p>
        </w:tc>
        <w:tc>
          <w:tcPr>
            <w:tcW w:w="8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28.0</w:t>
            </w:r>
          </w:p>
        </w:tc>
        <w:tc>
          <w:tcPr>
            <w:tcW w:w="1163"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88.0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23</w:t>
            </w:r>
          </w:p>
        </w:tc>
        <w:tc>
          <w:tcPr>
            <w:tcW w:w="98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46.0</w:t>
            </w:r>
          </w:p>
        </w:tc>
        <w:tc>
          <w:tcPr>
            <w:tcW w:w="1082"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74.0</w:t>
            </w:r>
          </w:p>
        </w:tc>
      </w:tr>
      <w:tr w:rsidR="005F73BD" w:rsidRPr="005F73BD" w:rsidTr="005F73BD">
        <w:trPr>
          <w:trHeight w:val="257"/>
        </w:trPr>
        <w:tc>
          <w:tcPr>
            <w:tcW w:w="11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3,000-4,000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2</w:t>
            </w:r>
          </w:p>
        </w:tc>
        <w:tc>
          <w:tcPr>
            <w:tcW w:w="8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4.0</w:t>
            </w:r>
          </w:p>
        </w:tc>
        <w:tc>
          <w:tcPr>
            <w:tcW w:w="1163"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92.0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8</w:t>
            </w:r>
          </w:p>
        </w:tc>
        <w:tc>
          <w:tcPr>
            <w:tcW w:w="98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16.0</w:t>
            </w:r>
          </w:p>
        </w:tc>
        <w:tc>
          <w:tcPr>
            <w:tcW w:w="1082"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90.0</w:t>
            </w:r>
          </w:p>
        </w:tc>
      </w:tr>
      <w:tr w:rsidR="005F73BD" w:rsidRPr="005F73BD" w:rsidTr="005F73BD">
        <w:trPr>
          <w:trHeight w:val="176"/>
        </w:trPr>
        <w:tc>
          <w:tcPr>
            <w:tcW w:w="11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4,000-5,000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2</w:t>
            </w:r>
          </w:p>
        </w:tc>
        <w:tc>
          <w:tcPr>
            <w:tcW w:w="8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4.0</w:t>
            </w:r>
          </w:p>
        </w:tc>
        <w:tc>
          <w:tcPr>
            <w:tcW w:w="1163"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96.0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3</w:t>
            </w:r>
          </w:p>
        </w:tc>
        <w:tc>
          <w:tcPr>
            <w:tcW w:w="98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6.0</w:t>
            </w:r>
          </w:p>
        </w:tc>
        <w:tc>
          <w:tcPr>
            <w:tcW w:w="1082"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96.0</w:t>
            </w:r>
          </w:p>
        </w:tc>
      </w:tr>
      <w:tr w:rsidR="005F73BD" w:rsidRPr="005F73BD" w:rsidTr="005F73BD">
        <w:trPr>
          <w:trHeight w:val="185"/>
        </w:trPr>
        <w:tc>
          <w:tcPr>
            <w:tcW w:w="11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5,000-6000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2</w:t>
            </w:r>
          </w:p>
        </w:tc>
        <w:tc>
          <w:tcPr>
            <w:tcW w:w="895"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4.0</w:t>
            </w:r>
          </w:p>
        </w:tc>
        <w:tc>
          <w:tcPr>
            <w:tcW w:w="1163"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100.0</w:t>
            </w:r>
          </w:p>
        </w:tc>
        <w:tc>
          <w:tcPr>
            <w:tcW w:w="95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2</w:t>
            </w:r>
          </w:p>
        </w:tc>
        <w:tc>
          <w:tcPr>
            <w:tcW w:w="981"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4.0</w:t>
            </w:r>
          </w:p>
        </w:tc>
        <w:tc>
          <w:tcPr>
            <w:tcW w:w="1082" w:type="dxa"/>
          </w:tcPr>
          <w:p w:rsidR="005F73BD" w:rsidRPr="005F73BD" w:rsidRDefault="005F73BD" w:rsidP="005F73BD">
            <w:pPr>
              <w:spacing w:after="0" w:line="240" w:lineRule="auto"/>
              <w:jc w:val="center"/>
              <w:rPr>
                <w:rFonts w:ascii="Times New Roman" w:hAnsi="Times New Roman" w:cs="Times New Roman"/>
                <w:sz w:val="20"/>
                <w:szCs w:val="20"/>
              </w:rPr>
            </w:pPr>
            <w:r w:rsidRPr="005F73BD">
              <w:rPr>
                <w:rFonts w:ascii="Times New Roman" w:hAnsi="Times New Roman" w:cs="Times New Roman"/>
                <w:sz w:val="20"/>
                <w:szCs w:val="20"/>
              </w:rPr>
              <w:t>100.0</w:t>
            </w:r>
          </w:p>
        </w:tc>
      </w:tr>
    </w:tbl>
    <w:p w:rsidR="005F73BD" w:rsidRPr="005F73BD" w:rsidRDefault="005F73BD" w:rsidP="005F73BD">
      <w:pPr>
        <w:spacing w:after="120" w:line="360" w:lineRule="auto"/>
        <w:rPr>
          <w:rFonts w:ascii="Times New Roman" w:hAnsi="Times New Roman" w:cs="Times New Roman"/>
          <w:sz w:val="20"/>
          <w:szCs w:val="20"/>
        </w:rPr>
      </w:pPr>
      <w:r w:rsidRPr="005F73BD">
        <w:rPr>
          <w:rFonts w:ascii="Times New Roman" w:hAnsi="Times New Roman" w:cs="Times New Roman"/>
          <w:sz w:val="20"/>
          <w:szCs w:val="20"/>
        </w:rPr>
        <w:t xml:space="preserve">Source: Primary Data </w:t>
      </w:r>
    </w:p>
    <w:p w:rsidR="005F73BD" w:rsidRDefault="005F73BD" w:rsidP="005F73BD">
      <w:pPr>
        <w:spacing w:after="120" w:line="360" w:lineRule="auto"/>
        <w:jc w:val="both"/>
        <w:rPr>
          <w:rFonts w:ascii="Times New Roman" w:hAnsi="Times New Roman"/>
        </w:rPr>
      </w:pPr>
      <w:r w:rsidRPr="00502334">
        <w:rPr>
          <w:rFonts w:ascii="Times New Roman" w:hAnsi="Times New Roman"/>
        </w:rPr>
        <w:t>A glance at Table 1 reveals that about 88 per cent of the selected households in rural areas fall in below Rs.3</w:t>
      </w:r>
      <w:proofErr w:type="gramStart"/>
      <w:r w:rsidRPr="00502334">
        <w:rPr>
          <w:rFonts w:ascii="Times New Roman" w:hAnsi="Times New Roman"/>
        </w:rPr>
        <w:t>,000</w:t>
      </w:r>
      <w:proofErr w:type="gramEnd"/>
      <w:r w:rsidRPr="00502334">
        <w:rPr>
          <w:rFonts w:ascii="Times New Roman" w:hAnsi="Times New Roman"/>
        </w:rPr>
        <w:t xml:space="preserve"> monthly per capita expenditure classes and the corresponding figures for urban households was 74 per cent. The median per capita monthly expenditure for the rural households was Rs.1681 and for the urban household Rs.2248. This indicates that the rural households were poorer as compared to urban households.</w:t>
      </w:r>
    </w:p>
    <w:p w:rsidR="005F73BD" w:rsidRPr="00502334" w:rsidRDefault="005F73BD" w:rsidP="005F73BD">
      <w:pPr>
        <w:spacing w:after="120" w:line="360" w:lineRule="auto"/>
        <w:jc w:val="both"/>
        <w:rPr>
          <w:rFonts w:ascii="Times New Roman" w:hAnsi="Times New Roman"/>
        </w:rPr>
      </w:pPr>
    </w:p>
    <w:p w:rsidR="005F73BD" w:rsidRPr="00502334" w:rsidRDefault="005F73BD" w:rsidP="005F73BD">
      <w:pPr>
        <w:spacing w:after="120" w:line="360" w:lineRule="auto"/>
        <w:rPr>
          <w:rFonts w:ascii="Times New Roman" w:hAnsi="Times New Roman"/>
          <w:b/>
        </w:rPr>
      </w:pPr>
      <w:r>
        <w:rPr>
          <w:rFonts w:ascii="Times New Roman" w:hAnsi="Times New Roman"/>
          <w:b/>
        </w:rPr>
        <w:lastRenderedPageBreak/>
        <w:t>1.5 D</w:t>
      </w:r>
      <w:r w:rsidRPr="00502334">
        <w:rPr>
          <w:rFonts w:ascii="Times New Roman" w:hAnsi="Times New Roman"/>
          <w:b/>
        </w:rPr>
        <w:t>istribution of budget share across commodity groups</w:t>
      </w:r>
    </w:p>
    <w:p w:rsidR="005F73BD" w:rsidRPr="005F73BD" w:rsidRDefault="005F73BD" w:rsidP="005F73BD">
      <w:pPr>
        <w:spacing w:after="120" w:line="360" w:lineRule="auto"/>
        <w:jc w:val="both"/>
        <w:rPr>
          <w:rFonts w:ascii="Times New Roman" w:hAnsi="Times New Roman"/>
        </w:rPr>
      </w:pPr>
      <w:r w:rsidRPr="00502334">
        <w:rPr>
          <w:rFonts w:ascii="Times New Roman" w:hAnsi="Times New Roman"/>
        </w:rPr>
        <w:t>The study of household budget allocation to different commodities assumes significance as it helps to establish the well-being of the surveyed population and the differential that exist among rural-urban households in household allocation. Figure 1 shows the average budget share of the selected rural and urban households on both food and non-food items.</w:t>
      </w:r>
    </w:p>
    <w:p w:rsidR="005F73BD" w:rsidRPr="005F73BD" w:rsidRDefault="005F73BD" w:rsidP="005F73BD">
      <w:pPr>
        <w:spacing w:after="120" w:line="360" w:lineRule="auto"/>
        <w:jc w:val="center"/>
        <w:rPr>
          <w:rFonts w:ascii="Times New Roman" w:hAnsi="Times New Roman"/>
          <w:sz w:val="20"/>
          <w:szCs w:val="20"/>
        </w:rPr>
      </w:pPr>
      <w:r w:rsidRPr="005F73BD">
        <w:rPr>
          <w:rFonts w:ascii="Times New Roman" w:hAnsi="Times New Roman"/>
          <w:sz w:val="20"/>
          <w:szCs w:val="20"/>
        </w:rPr>
        <w:t>Figure 1</w:t>
      </w:r>
    </w:p>
    <w:p w:rsidR="005F73BD" w:rsidRPr="005F73BD" w:rsidRDefault="005F73BD" w:rsidP="005F73BD">
      <w:pPr>
        <w:spacing w:after="120" w:line="360" w:lineRule="auto"/>
        <w:jc w:val="center"/>
        <w:rPr>
          <w:rFonts w:ascii="Times New Roman" w:hAnsi="Times New Roman"/>
          <w:sz w:val="20"/>
          <w:szCs w:val="20"/>
        </w:rPr>
      </w:pPr>
      <w:r w:rsidRPr="005F73BD">
        <w:rPr>
          <w:rFonts w:ascii="Times New Roman" w:hAnsi="Times New Roman"/>
          <w:sz w:val="20"/>
          <w:szCs w:val="20"/>
        </w:rPr>
        <w:t>Average budget shares in rural and urban households</w:t>
      </w:r>
    </w:p>
    <w:p w:rsidR="005F73BD" w:rsidRPr="005F73BD" w:rsidRDefault="005F73BD" w:rsidP="005F73BD">
      <w:pPr>
        <w:spacing w:after="120" w:line="360" w:lineRule="auto"/>
        <w:jc w:val="center"/>
        <w:rPr>
          <w:rFonts w:ascii="Times New Roman" w:hAnsi="Times New Roman"/>
          <w:sz w:val="20"/>
          <w:szCs w:val="20"/>
        </w:rPr>
      </w:pPr>
      <w:r>
        <w:rPr>
          <w:rFonts w:ascii="Times New Roman" w:hAnsi="Times New Roman"/>
          <w:noProof/>
        </w:rPr>
        <w:drawing>
          <wp:inline distT="0" distB="0" distL="0" distR="0">
            <wp:extent cx="2244090" cy="1394460"/>
            <wp:effectExtent l="19050" t="0" r="2286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73BD" w:rsidRDefault="005F73BD" w:rsidP="003E1FE0">
      <w:pPr>
        <w:spacing w:after="120" w:line="360" w:lineRule="auto"/>
        <w:jc w:val="center"/>
        <w:rPr>
          <w:rFonts w:ascii="Times New Roman" w:hAnsi="Times New Roman"/>
        </w:rPr>
      </w:pPr>
      <w:r>
        <w:rPr>
          <w:rFonts w:ascii="Times New Roman" w:hAnsi="Times New Roman"/>
          <w:noProof/>
        </w:rPr>
        <w:drawing>
          <wp:inline distT="0" distB="0" distL="0" distR="0">
            <wp:extent cx="2183130" cy="1531620"/>
            <wp:effectExtent l="19050" t="0" r="2667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73BD" w:rsidRPr="00502334" w:rsidRDefault="005F73BD" w:rsidP="003E1FE0">
      <w:pPr>
        <w:spacing w:after="120" w:line="312" w:lineRule="auto"/>
        <w:jc w:val="both"/>
        <w:rPr>
          <w:rFonts w:ascii="Times New Roman" w:hAnsi="Times New Roman"/>
        </w:rPr>
      </w:pPr>
      <w:r w:rsidRPr="00502334">
        <w:rPr>
          <w:rFonts w:ascii="Times New Roman" w:hAnsi="Times New Roman"/>
        </w:rPr>
        <w:t xml:space="preserve">It can be easily understood from the figure that the expenditure share on food items in rural households was higher than that of urban households. Similarly, the share in case of non-food item was less in rural households. Among the food items, the share of expenditure on cereals in the total expenditure was 13 per cent in rural households and 10 per cent in urban </w:t>
      </w:r>
      <w:r w:rsidRPr="00502334">
        <w:rPr>
          <w:rFonts w:ascii="Times New Roman" w:hAnsi="Times New Roman"/>
        </w:rPr>
        <w:lastRenderedPageBreak/>
        <w:t>households indicating its importance in the total expenditure of the households. Other significant expenditure for both rural and urban households was meat and meat products (8.62 per cent and 7.53 per cent respectively), milk and related milk products (7.51 per cent and 7.81 per cent respectively) and vegetables (5.18 per cent and 3.9 per cent respectively).</w:t>
      </w:r>
    </w:p>
    <w:p w:rsidR="005F73BD" w:rsidRPr="00502334" w:rsidRDefault="005F73BD" w:rsidP="003E1FE0">
      <w:pPr>
        <w:spacing w:after="120" w:line="312" w:lineRule="auto"/>
        <w:jc w:val="both"/>
        <w:rPr>
          <w:rFonts w:ascii="Times New Roman" w:hAnsi="Times New Roman"/>
        </w:rPr>
      </w:pPr>
      <w:r w:rsidRPr="00502334">
        <w:rPr>
          <w:rFonts w:ascii="Times New Roman" w:hAnsi="Times New Roman"/>
        </w:rPr>
        <w:t xml:space="preserve">Among the non-food items, the urban households spent a larger proportion of their income on rent (15.85 per cent), followed by education (7.48 per cent), entertainment (7.38 per cent) and fuel and electricity (7.22 per cent). For the rural households, the proportion of expenditure was maximum on miscellaneous items (9.94 per cent), followed by education (7.73 per cent), fuel and light (7.06 per cent) and transport (6.76 per cent). The proportion of rural expenditure level per capita did not exceed urban levels for all non-food items except education, medicine, intoxicants, durables and miscellaneous items. This indicates the changing consumption behaviour among the rural households. </w:t>
      </w:r>
      <w:proofErr w:type="spellStart"/>
      <w:r w:rsidRPr="00502334">
        <w:rPr>
          <w:rFonts w:ascii="Times New Roman" w:hAnsi="Times New Roman"/>
        </w:rPr>
        <w:t>Rao</w:t>
      </w:r>
      <w:proofErr w:type="spellEnd"/>
      <w:r w:rsidRPr="00502334">
        <w:rPr>
          <w:rFonts w:ascii="Times New Roman" w:hAnsi="Times New Roman"/>
        </w:rPr>
        <w:t xml:space="preserve"> (2000) has made similar observation that cereal consumption had shown a significant decline in rural areas where improvements in rural infrastructure made other food and non-food items available to the rural households. </w:t>
      </w:r>
      <w:proofErr w:type="spellStart"/>
      <w:r w:rsidRPr="00502334">
        <w:rPr>
          <w:rFonts w:ascii="Times New Roman" w:hAnsi="Times New Roman"/>
        </w:rPr>
        <w:t>Rao</w:t>
      </w:r>
      <w:proofErr w:type="spellEnd"/>
      <w:r w:rsidRPr="00502334">
        <w:rPr>
          <w:rFonts w:ascii="Times New Roman" w:hAnsi="Times New Roman"/>
        </w:rPr>
        <w:t xml:space="preserve"> further observes that a reduction in the intake of </w:t>
      </w:r>
      <w:proofErr w:type="spellStart"/>
      <w:r w:rsidRPr="00502334">
        <w:rPr>
          <w:rFonts w:ascii="Times New Roman" w:hAnsi="Times New Roman"/>
        </w:rPr>
        <w:t>foodgrains</w:t>
      </w:r>
      <w:proofErr w:type="spellEnd"/>
      <w:r w:rsidRPr="00502334">
        <w:rPr>
          <w:rFonts w:ascii="Times New Roman" w:hAnsi="Times New Roman"/>
        </w:rPr>
        <w:t xml:space="preserve"> on this count cannot be taken as deterioration in human welfare.</w:t>
      </w:r>
    </w:p>
    <w:p w:rsidR="005F73BD" w:rsidRPr="00502334" w:rsidRDefault="005F73BD" w:rsidP="00FD1AA0">
      <w:pPr>
        <w:spacing w:after="120" w:line="288" w:lineRule="auto"/>
        <w:jc w:val="both"/>
        <w:rPr>
          <w:rFonts w:ascii="Times New Roman" w:hAnsi="Times New Roman"/>
        </w:rPr>
      </w:pPr>
      <w:proofErr w:type="spellStart"/>
      <w:r w:rsidRPr="00502334">
        <w:rPr>
          <w:rFonts w:ascii="Times New Roman" w:hAnsi="Times New Roman"/>
        </w:rPr>
        <w:t>The‘t</w:t>
      </w:r>
      <w:proofErr w:type="spellEnd"/>
      <w:r w:rsidRPr="00502334">
        <w:rPr>
          <w:rFonts w:ascii="Times New Roman" w:hAnsi="Times New Roman"/>
        </w:rPr>
        <w:t>’ test was carried out to find out if there is a significant difference between rural and urban households with respect to expenditure on food, expenditure on non-food and total expenditure. The null hypothesis framed was:</w:t>
      </w:r>
    </w:p>
    <w:p w:rsidR="005F73BD" w:rsidRPr="00502334" w:rsidRDefault="005F73BD" w:rsidP="00FD1AA0">
      <w:pPr>
        <w:spacing w:after="120" w:line="288" w:lineRule="auto"/>
        <w:jc w:val="both"/>
        <w:rPr>
          <w:rFonts w:ascii="Times New Roman" w:hAnsi="Times New Roman"/>
        </w:rPr>
      </w:pPr>
      <w:proofErr w:type="gramStart"/>
      <w:r w:rsidRPr="00502334">
        <w:rPr>
          <w:rFonts w:ascii="Times New Roman" w:hAnsi="Times New Roman"/>
        </w:rPr>
        <w:t>H</w:t>
      </w:r>
      <w:r w:rsidRPr="00502334">
        <w:rPr>
          <w:rFonts w:ascii="Times New Roman" w:hAnsi="Times New Roman"/>
          <w:vertAlign w:val="subscript"/>
        </w:rPr>
        <w:t xml:space="preserve">0 </w:t>
      </w:r>
      <w:r w:rsidRPr="00502334">
        <w:rPr>
          <w:rFonts w:ascii="Times New Roman" w:hAnsi="Times New Roman"/>
        </w:rPr>
        <w:t>:</w:t>
      </w:r>
      <w:proofErr w:type="gramEnd"/>
      <w:r w:rsidRPr="00502334">
        <w:rPr>
          <w:rFonts w:ascii="Times New Roman" w:hAnsi="Times New Roman"/>
        </w:rPr>
        <w:t xml:space="preserve"> There is no significant difference among the rural and urban households on food expenditure/non-food expenditure/total expenditure.</w:t>
      </w:r>
    </w:p>
    <w:p w:rsidR="005F73BD" w:rsidRPr="00502334" w:rsidRDefault="005F73BD" w:rsidP="00FD1AA0">
      <w:pPr>
        <w:spacing w:after="120" w:line="288" w:lineRule="auto"/>
        <w:jc w:val="both"/>
        <w:rPr>
          <w:rFonts w:ascii="Times New Roman" w:hAnsi="Times New Roman"/>
        </w:rPr>
      </w:pPr>
      <w:proofErr w:type="gramStart"/>
      <w:r w:rsidRPr="00502334">
        <w:rPr>
          <w:rFonts w:ascii="Times New Roman" w:hAnsi="Times New Roman"/>
        </w:rPr>
        <w:t>H</w:t>
      </w:r>
      <w:r w:rsidRPr="00502334">
        <w:rPr>
          <w:rFonts w:ascii="Times New Roman" w:hAnsi="Times New Roman"/>
          <w:vertAlign w:val="subscript"/>
        </w:rPr>
        <w:t xml:space="preserve">a </w:t>
      </w:r>
      <w:r w:rsidRPr="00502334">
        <w:rPr>
          <w:rFonts w:ascii="Times New Roman" w:hAnsi="Times New Roman"/>
        </w:rPr>
        <w:t>:</w:t>
      </w:r>
      <w:proofErr w:type="gramEnd"/>
      <w:r w:rsidRPr="00502334">
        <w:rPr>
          <w:rFonts w:ascii="Times New Roman" w:hAnsi="Times New Roman"/>
        </w:rPr>
        <w:t xml:space="preserve"> There is a significant difference.</w:t>
      </w:r>
    </w:p>
    <w:p w:rsidR="005F73BD" w:rsidRPr="00502334" w:rsidRDefault="005F73BD" w:rsidP="003E1FE0">
      <w:pPr>
        <w:spacing w:after="120" w:line="312" w:lineRule="auto"/>
        <w:jc w:val="both"/>
        <w:rPr>
          <w:rFonts w:ascii="Times New Roman" w:hAnsi="Times New Roman"/>
        </w:rPr>
      </w:pPr>
      <w:r w:rsidRPr="00502334">
        <w:rPr>
          <w:rFonts w:ascii="Times New Roman" w:hAnsi="Times New Roman"/>
        </w:rPr>
        <w:t>The results are given in Table 2.</w:t>
      </w:r>
    </w:p>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lastRenderedPageBreak/>
        <w:t>Table 2</w:t>
      </w:r>
    </w:p>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 xml:space="preserve"> Results </w:t>
      </w:r>
      <w:proofErr w:type="gramStart"/>
      <w:r w:rsidRPr="005F73BD">
        <w:rPr>
          <w:rFonts w:ascii="Times New Roman" w:hAnsi="Times New Roman"/>
          <w:sz w:val="20"/>
          <w:szCs w:val="20"/>
        </w:rPr>
        <w:t>of ‘t’</w:t>
      </w:r>
      <w:proofErr w:type="gramEnd"/>
      <w:r w:rsidRPr="005F73BD">
        <w:rPr>
          <w:rFonts w:ascii="Times New Roman" w:hAnsi="Times New Roman"/>
          <w:sz w:val="20"/>
          <w:szCs w:val="20"/>
        </w:rPr>
        <w:t xml:space="preserve"> test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1782"/>
        <w:gridCol w:w="1916"/>
        <w:gridCol w:w="1695"/>
      </w:tblGrid>
      <w:tr w:rsidR="005F73BD" w:rsidRPr="005F73BD" w:rsidTr="005F73BD">
        <w:trPr>
          <w:trHeight w:val="58"/>
        </w:trPr>
        <w:tc>
          <w:tcPr>
            <w:tcW w:w="1807"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Variable</w:t>
            </w:r>
          </w:p>
        </w:tc>
        <w:tc>
          <w:tcPr>
            <w:tcW w:w="1782"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Group</w:t>
            </w:r>
          </w:p>
        </w:tc>
        <w:tc>
          <w:tcPr>
            <w:tcW w:w="1916"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Mean expenditure</w:t>
            </w:r>
          </w:p>
        </w:tc>
        <w:tc>
          <w:tcPr>
            <w:tcW w:w="1695"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‘t’ value</w:t>
            </w:r>
          </w:p>
        </w:tc>
      </w:tr>
      <w:tr w:rsidR="005F73BD" w:rsidRPr="005F73BD" w:rsidTr="005F73BD">
        <w:trPr>
          <w:trHeight w:val="827"/>
        </w:trPr>
        <w:tc>
          <w:tcPr>
            <w:tcW w:w="1807"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Total food expenditure</w:t>
            </w:r>
          </w:p>
        </w:tc>
        <w:tc>
          <w:tcPr>
            <w:tcW w:w="1782"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Rural</w:t>
            </w:r>
          </w:p>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Urban</w:t>
            </w:r>
          </w:p>
        </w:tc>
        <w:tc>
          <w:tcPr>
            <w:tcW w:w="1916"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948.00</w:t>
            </w:r>
          </w:p>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1007.3</w:t>
            </w:r>
          </w:p>
        </w:tc>
        <w:tc>
          <w:tcPr>
            <w:tcW w:w="1695"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0.588</w:t>
            </w:r>
          </w:p>
        </w:tc>
      </w:tr>
      <w:tr w:rsidR="005F73BD" w:rsidRPr="005F73BD" w:rsidTr="005F73BD">
        <w:trPr>
          <w:trHeight w:val="485"/>
        </w:trPr>
        <w:tc>
          <w:tcPr>
            <w:tcW w:w="1807"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Total non-food expenditure</w:t>
            </w:r>
          </w:p>
        </w:tc>
        <w:tc>
          <w:tcPr>
            <w:tcW w:w="1782"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Rural</w:t>
            </w:r>
          </w:p>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Urban</w:t>
            </w:r>
          </w:p>
        </w:tc>
        <w:tc>
          <w:tcPr>
            <w:tcW w:w="1916"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1071.6</w:t>
            </w:r>
          </w:p>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1484.5</w:t>
            </w:r>
          </w:p>
        </w:tc>
        <w:tc>
          <w:tcPr>
            <w:tcW w:w="1695" w:type="dxa"/>
            <w:vAlign w:val="center"/>
          </w:tcPr>
          <w:p w:rsidR="005F73BD" w:rsidRPr="005F73BD" w:rsidRDefault="005F73BD" w:rsidP="005F73BD">
            <w:pPr>
              <w:spacing w:after="120" w:line="240" w:lineRule="auto"/>
              <w:jc w:val="center"/>
              <w:rPr>
                <w:rFonts w:ascii="Times New Roman" w:hAnsi="Times New Roman"/>
                <w:sz w:val="20"/>
                <w:szCs w:val="20"/>
                <w:vertAlign w:val="superscript"/>
              </w:rPr>
            </w:pPr>
            <w:r w:rsidRPr="005F73BD">
              <w:rPr>
                <w:rFonts w:ascii="Times New Roman" w:hAnsi="Times New Roman"/>
                <w:sz w:val="20"/>
                <w:szCs w:val="20"/>
              </w:rPr>
              <w:t>2.846</w:t>
            </w:r>
            <w:r w:rsidRPr="005F73BD">
              <w:rPr>
                <w:rFonts w:ascii="Times New Roman" w:hAnsi="Times New Roman"/>
                <w:sz w:val="20"/>
                <w:szCs w:val="20"/>
                <w:vertAlign w:val="superscript"/>
              </w:rPr>
              <w:t>*</w:t>
            </w:r>
          </w:p>
        </w:tc>
      </w:tr>
      <w:tr w:rsidR="005F73BD" w:rsidRPr="005F73BD" w:rsidTr="005F73BD">
        <w:trPr>
          <w:trHeight w:val="512"/>
        </w:trPr>
        <w:tc>
          <w:tcPr>
            <w:tcW w:w="1807"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Total expenditure</w:t>
            </w:r>
          </w:p>
        </w:tc>
        <w:tc>
          <w:tcPr>
            <w:tcW w:w="1782"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Rural</w:t>
            </w:r>
          </w:p>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Urban</w:t>
            </w:r>
          </w:p>
        </w:tc>
        <w:tc>
          <w:tcPr>
            <w:tcW w:w="1916" w:type="dxa"/>
            <w:vAlign w:val="center"/>
          </w:tcPr>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2019.6</w:t>
            </w:r>
          </w:p>
          <w:p w:rsidR="005F73BD" w:rsidRPr="005F73BD" w:rsidRDefault="005F73BD" w:rsidP="005F73BD">
            <w:pPr>
              <w:spacing w:after="120" w:line="240" w:lineRule="auto"/>
              <w:jc w:val="center"/>
              <w:rPr>
                <w:rFonts w:ascii="Times New Roman" w:hAnsi="Times New Roman"/>
                <w:sz w:val="20"/>
                <w:szCs w:val="20"/>
              </w:rPr>
            </w:pPr>
            <w:r w:rsidRPr="005F73BD">
              <w:rPr>
                <w:rFonts w:ascii="Times New Roman" w:hAnsi="Times New Roman"/>
                <w:sz w:val="20"/>
                <w:szCs w:val="20"/>
              </w:rPr>
              <w:t>2491.9</w:t>
            </w:r>
          </w:p>
        </w:tc>
        <w:tc>
          <w:tcPr>
            <w:tcW w:w="1695" w:type="dxa"/>
            <w:vAlign w:val="center"/>
          </w:tcPr>
          <w:p w:rsidR="005F73BD" w:rsidRPr="005F73BD" w:rsidRDefault="005F73BD" w:rsidP="005F73BD">
            <w:pPr>
              <w:spacing w:after="120" w:line="240" w:lineRule="auto"/>
              <w:jc w:val="center"/>
              <w:rPr>
                <w:rFonts w:ascii="Times New Roman" w:hAnsi="Times New Roman"/>
                <w:sz w:val="20"/>
                <w:szCs w:val="20"/>
                <w:vertAlign w:val="superscript"/>
              </w:rPr>
            </w:pPr>
            <w:r w:rsidRPr="005F73BD">
              <w:rPr>
                <w:rFonts w:ascii="Times New Roman" w:hAnsi="Times New Roman"/>
                <w:sz w:val="20"/>
                <w:szCs w:val="20"/>
              </w:rPr>
              <w:t>2.283</w:t>
            </w:r>
            <w:r w:rsidRPr="005F73BD">
              <w:rPr>
                <w:rFonts w:ascii="Times New Roman" w:hAnsi="Times New Roman"/>
                <w:sz w:val="20"/>
                <w:szCs w:val="20"/>
                <w:vertAlign w:val="superscript"/>
              </w:rPr>
              <w:t>**</w:t>
            </w:r>
          </w:p>
        </w:tc>
      </w:tr>
    </w:tbl>
    <w:p w:rsidR="005F73BD" w:rsidRPr="005F73BD" w:rsidRDefault="005F73BD" w:rsidP="005F73BD">
      <w:pPr>
        <w:spacing w:after="120" w:line="360" w:lineRule="auto"/>
        <w:rPr>
          <w:rFonts w:ascii="Times New Roman" w:hAnsi="Times New Roman"/>
          <w:sz w:val="20"/>
          <w:szCs w:val="20"/>
        </w:rPr>
      </w:pPr>
      <w:r w:rsidRPr="005F73BD">
        <w:rPr>
          <w:rFonts w:ascii="Times New Roman" w:hAnsi="Times New Roman"/>
          <w:sz w:val="20"/>
          <w:szCs w:val="20"/>
        </w:rPr>
        <w:t xml:space="preserve">Note: </w:t>
      </w:r>
      <w:r w:rsidRPr="005F73BD">
        <w:rPr>
          <w:rFonts w:ascii="Times New Roman" w:hAnsi="Times New Roman"/>
          <w:sz w:val="20"/>
          <w:szCs w:val="20"/>
          <w:vertAlign w:val="superscript"/>
        </w:rPr>
        <w:t>*</w:t>
      </w:r>
      <w:r w:rsidRPr="005F73BD">
        <w:rPr>
          <w:rFonts w:ascii="Times New Roman" w:hAnsi="Times New Roman"/>
          <w:sz w:val="20"/>
          <w:szCs w:val="20"/>
        </w:rPr>
        <w:t xml:space="preserve">Significant at 1 per cent level; </w:t>
      </w:r>
      <w:r w:rsidRPr="005F73BD">
        <w:rPr>
          <w:rFonts w:ascii="Times New Roman" w:hAnsi="Times New Roman"/>
          <w:sz w:val="20"/>
          <w:szCs w:val="20"/>
          <w:vertAlign w:val="superscript"/>
        </w:rPr>
        <w:t>**</w:t>
      </w:r>
      <w:r w:rsidRPr="005F73BD">
        <w:rPr>
          <w:rFonts w:ascii="Times New Roman" w:hAnsi="Times New Roman"/>
          <w:sz w:val="20"/>
          <w:szCs w:val="20"/>
        </w:rPr>
        <w:t>Significant at 5 per cent level</w:t>
      </w:r>
    </w:p>
    <w:p w:rsidR="005F73BD" w:rsidRPr="00502334" w:rsidRDefault="005F73BD" w:rsidP="003E1FE0">
      <w:pPr>
        <w:spacing w:after="120" w:line="336" w:lineRule="auto"/>
        <w:jc w:val="both"/>
        <w:rPr>
          <w:rFonts w:ascii="Times New Roman" w:hAnsi="Times New Roman"/>
        </w:rPr>
      </w:pPr>
      <w:proofErr w:type="spellStart"/>
      <w:r w:rsidRPr="00502334">
        <w:rPr>
          <w:rFonts w:ascii="Times New Roman" w:hAnsi="Times New Roman"/>
        </w:rPr>
        <w:t>Significant‘t</w:t>
      </w:r>
      <w:proofErr w:type="spellEnd"/>
      <w:r w:rsidRPr="00502334">
        <w:rPr>
          <w:rFonts w:ascii="Times New Roman" w:hAnsi="Times New Roman"/>
        </w:rPr>
        <w:t xml:space="preserve">’ value indicates that the mean consumption was different for rural and urban households. In the case of food consumption, there was no significant difference in the average monthly per capita consumption between the two groups (rural and urban). The average monthly per capita non-food expenditure and total expenditure was higher in urban households compared to rural households. </w:t>
      </w:r>
      <w:proofErr w:type="spellStart"/>
      <w:r w:rsidRPr="00502334">
        <w:rPr>
          <w:rFonts w:ascii="Times New Roman" w:hAnsi="Times New Roman"/>
        </w:rPr>
        <w:t>The‘t</w:t>
      </w:r>
      <w:proofErr w:type="spellEnd"/>
      <w:r w:rsidRPr="00502334">
        <w:rPr>
          <w:rFonts w:ascii="Times New Roman" w:hAnsi="Times New Roman"/>
        </w:rPr>
        <w:t>’ value was also found to be significant in the case of both total expenditure and non-food expenditure. Hence there was no significant difference between the rural and urban households as far as food expenditure was concerned but a significant difference was seen in the case of non-food expenditure and total expenditure.</w:t>
      </w:r>
    </w:p>
    <w:p w:rsidR="005F73BD" w:rsidRPr="005F73BD" w:rsidRDefault="005F73BD" w:rsidP="003E1FE0">
      <w:pPr>
        <w:pStyle w:val="ListParagraph"/>
        <w:numPr>
          <w:ilvl w:val="1"/>
          <w:numId w:val="14"/>
        </w:numPr>
        <w:spacing w:after="120" w:line="336" w:lineRule="auto"/>
        <w:rPr>
          <w:rFonts w:ascii="Times New Roman" w:hAnsi="Times New Roman"/>
          <w:b/>
        </w:rPr>
      </w:pPr>
      <w:r>
        <w:rPr>
          <w:rFonts w:ascii="Times New Roman" w:hAnsi="Times New Roman"/>
          <w:b/>
        </w:rPr>
        <w:t>D</w:t>
      </w:r>
      <w:r w:rsidRPr="005F73BD">
        <w:rPr>
          <w:rFonts w:ascii="Times New Roman" w:hAnsi="Times New Roman"/>
          <w:b/>
        </w:rPr>
        <w:t xml:space="preserve">eterminants of consumption </w:t>
      </w:r>
      <w:proofErr w:type="spellStart"/>
      <w:r w:rsidRPr="005F73BD">
        <w:rPr>
          <w:rFonts w:ascii="Times New Roman" w:hAnsi="Times New Roman"/>
          <w:b/>
        </w:rPr>
        <w:t>behaviour</w:t>
      </w:r>
      <w:proofErr w:type="spellEnd"/>
    </w:p>
    <w:p w:rsidR="005F73BD" w:rsidRPr="00502334" w:rsidRDefault="005F73BD" w:rsidP="003E1FE0">
      <w:pPr>
        <w:spacing w:after="120" w:line="336" w:lineRule="auto"/>
        <w:jc w:val="both"/>
        <w:rPr>
          <w:rFonts w:ascii="Times New Roman" w:hAnsi="Times New Roman"/>
        </w:rPr>
      </w:pPr>
      <w:r w:rsidRPr="00502334">
        <w:rPr>
          <w:rFonts w:ascii="Times New Roman" w:hAnsi="Times New Roman"/>
        </w:rPr>
        <w:t xml:space="preserve">It is widely accepted in literature that various social, economic and demographic factors influence the consumption behaviour. The households covered in this study cannot be an exception to this phenomenon. To find out the association between demographic features such as age, sex, social features such as education, type of family, location </w:t>
      </w:r>
      <w:r w:rsidRPr="00502334">
        <w:rPr>
          <w:rFonts w:ascii="Times New Roman" w:hAnsi="Times New Roman"/>
        </w:rPr>
        <w:lastRenderedPageBreak/>
        <w:t xml:space="preserve">of the household and family characteristics such as occupation and income with consumption behaviour of the households, chi-square test was applied. </w:t>
      </w:r>
    </w:p>
    <w:p w:rsidR="005F73BD" w:rsidRPr="005F73BD" w:rsidRDefault="005F73BD" w:rsidP="003E1FE0">
      <w:pPr>
        <w:spacing w:after="120" w:line="240" w:lineRule="auto"/>
        <w:ind w:left="720"/>
        <w:jc w:val="center"/>
        <w:rPr>
          <w:rFonts w:ascii="Times New Roman" w:hAnsi="Times New Roman" w:cs="Times New Roman"/>
          <w:sz w:val="20"/>
          <w:szCs w:val="20"/>
        </w:rPr>
      </w:pPr>
      <w:r w:rsidRPr="005F73BD">
        <w:rPr>
          <w:rFonts w:ascii="Times New Roman" w:hAnsi="Times New Roman" w:cs="Times New Roman"/>
          <w:sz w:val="20"/>
          <w:szCs w:val="20"/>
        </w:rPr>
        <w:t>Table 3</w:t>
      </w:r>
    </w:p>
    <w:p w:rsidR="005F73BD" w:rsidRPr="005F73BD" w:rsidRDefault="005F73BD" w:rsidP="003E1FE0">
      <w:pPr>
        <w:spacing w:after="120" w:line="240" w:lineRule="auto"/>
        <w:ind w:left="720"/>
        <w:jc w:val="center"/>
        <w:rPr>
          <w:rFonts w:ascii="Times New Roman" w:hAnsi="Times New Roman" w:cs="Times New Roman"/>
          <w:sz w:val="20"/>
          <w:szCs w:val="20"/>
        </w:rPr>
      </w:pPr>
      <w:r w:rsidRPr="005F73BD">
        <w:rPr>
          <w:rFonts w:ascii="Times New Roman" w:hAnsi="Times New Roman" w:cs="Times New Roman"/>
          <w:sz w:val="20"/>
          <w:szCs w:val="20"/>
        </w:rPr>
        <w:t>Determinants of consumption – chi-square test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2"/>
        <w:gridCol w:w="1128"/>
        <w:gridCol w:w="1227"/>
        <w:gridCol w:w="987"/>
        <w:gridCol w:w="1206"/>
      </w:tblGrid>
      <w:tr w:rsidR="005F73BD" w:rsidRPr="005F73BD" w:rsidTr="005D0CBF">
        <w:trPr>
          <w:trHeight w:val="115"/>
        </w:trPr>
        <w:tc>
          <w:tcPr>
            <w:tcW w:w="2652" w:type="dxa"/>
          </w:tcPr>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Variables</w:t>
            </w:r>
          </w:p>
        </w:tc>
        <w:tc>
          <w:tcPr>
            <w:tcW w:w="1128" w:type="dxa"/>
          </w:tcPr>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 xml:space="preserve"> Χ</w:t>
            </w:r>
            <w:r w:rsidRPr="005F73BD">
              <w:rPr>
                <w:rFonts w:ascii="Times New Roman" w:hAnsi="Times New Roman" w:cs="Times New Roman"/>
                <w:sz w:val="20"/>
                <w:szCs w:val="20"/>
                <w:vertAlign w:val="superscript"/>
              </w:rPr>
              <w:t>2</w:t>
            </w:r>
            <w:r w:rsidRPr="005F73BD">
              <w:rPr>
                <w:rFonts w:ascii="Times New Roman" w:hAnsi="Times New Roman" w:cs="Times New Roman"/>
                <w:sz w:val="20"/>
                <w:szCs w:val="20"/>
              </w:rPr>
              <w:t xml:space="preserve"> Value</w:t>
            </w:r>
          </w:p>
        </w:tc>
        <w:tc>
          <w:tcPr>
            <w:tcW w:w="1227" w:type="dxa"/>
          </w:tcPr>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Degrees of freedom</w:t>
            </w:r>
          </w:p>
        </w:tc>
        <w:tc>
          <w:tcPr>
            <w:tcW w:w="987" w:type="dxa"/>
          </w:tcPr>
          <w:p w:rsidR="005F73BD" w:rsidRPr="005F73BD" w:rsidRDefault="005F73BD" w:rsidP="005F73BD">
            <w:pPr>
              <w:spacing w:after="0" w:line="240" w:lineRule="auto"/>
              <w:rPr>
                <w:rFonts w:ascii="Times New Roman" w:hAnsi="Times New Roman" w:cs="Times New Roman"/>
                <w:sz w:val="20"/>
                <w:szCs w:val="20"/>
                <w:vertAlign w:val="subscript"/>
              </w:rPr>
            </w:pPr>
            <w:r w:rsidRPr="005F73BD">
              <w:rPr>
                <w:rFonts w:ascii="Times New Roman" w:hAnsi="Times New Roman" w:cs="Times New Roman"/>
                <w:sz w:val="20"/>
                <w:szCs w:val="20"/>
              </w:rPr>
              <w:t>X</w:t>
            </w:r>
            <w:r w:rsidRPr="005F73BD">
              <w:rPr>
                <w:rFonts w:ascii="Times New Roman" w:hAnsi="Times New Roman" w:cs="Times New Roman"/>
                <w:sz w:val="20"/>
                <w:szCs w:val="20"/>
                <w:vertAlign w:val="superscript"/>
              </w:rPr>
              <w:t xml:space="preserve">2 </w:t>
            </w:r>
            <w:r w:rsidRPr="005F73BD">
              <w:rPr>
                <w:rFonts w:ascii="Times New Roman" w:hAnsi="Times New Roman" w:cs="Times New Roman"/>
                <w:sz w:val="20"/>
                <w:szCs w:val="20"/>
                <w:vertAlign w:val="subscript"/>
              </w:rPr>
              <w:t>0.05</w:t>
            </w:r>
          </w:p>
        </w:tc>
        <w:tc>
          <w:tcPr>
            <w:tcW w:w="1206" w:type="dxa"/>
          </w:tcPr>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Inference</w:t>
            </w:r>
          </w:p>
        </w:tc>
      </w:tr>
      <w:tr w:rsidR="005F73BD" w:rsidRPr="005F73BD" w:rsidTr="005D0CBF">
        <w:trPr>
          <w:trHeight w:val="791"/>
        </w:trPr>
        <w:tc>
          <w:tcPr>
            <w:tcW w:w="2652" w:type="dxa"/>
          </w:tcPr>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Demographic factors</w:t>
            </w:r>
          </w:p>
          <w:p w:rsidR="005F73BD" w:rsidRPr="005F73BD" w:rsidRDefault="005F73BD" w:rsidP="005F73BD">
            <w:pPr>
              <w:pStyle w:val="ListParagraph"/>
              <w:numPr>
                <w:ilvl w:val="0"/>
                <w:numId w:val="10"/>
              </w:numPr>
              <w:spacing w:after="0" w:line="240" w:lineRule="auto"/>
              <w:contextualSpacing w:val="0"/>
              <w:rPr>
                <w:rFonts w:ascii="Times New Roman" w:hAnsi="Times New Roman"/>
                <w:sz w:val="20"/>
                <w:szCs w:val="20"/>
              </w:rPr>
            </w:pPr>
            <w:r w:rsidRPr="005F73BD">
              <w:rPr>
                <w:rFonts w:ascii="Times New Roman" w:hAnsi="Times New Roman"/>
                <w:sz w:val="20"/>
                <w:szCs w:val="20"/>
              </w:rPr>
              <w:t>Age</w:t>
            </w:r>
          </w:p>
          <w:p w:rsidR="005F73BD" w:rsidRPr="005F73BD" w:rsidRDefault="005F73BD" w:rsidP="005F73BD">
            <w:pPr>
              <w:pStyle w:val="ListParagraph"/>
              <w:numPr>
                <w:ilvl w:val="0"/>
                <w:numId w:val="10"/>
              </w:numPr>
              <w:spacing w:after="0" w:line="240" w:lineRule="auto"/>
              <w:contextualSpacing w:val="0"/>
              <w:rPr>
                <w:rFonts w:ascii="Times New Roman" w:hAnsi="Times New Roman"/>
                <w:sz w:val="20"/>
                <w:szCs w:val="20"/>
              </w:rPr>
            </w:pPr>
            <w:r w:rsidRPr="005F73BD">
              <w:rPr>
                <w:rFonts w:ascii="Times New Roman" w:hAnsi="Times New Roman"/>
                <w:sz w:val="20"/>
                <w:szCs w:val="20"/>
              </w:rPr>
              <w:t>Sex</w:t>
            </w:r>
          </w:p>
        </w:tc>
        <w:tc>
          <w:tcPr>
            <w:tcW w:w="1128"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5.974</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4.973</w:t>
            </w:r>
          </w:p>
        </w:tc>
        <w:tc>
          <w:tcPr>
            <w:tcW w:w="1227"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2</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2</w:t>
            </w:r>
          </w:p>
        </w:tc>
        <w:tc>
          <w:tcPr>
            <w:tcW w:w="987"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5.99</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5.99</w:t>
            </w:r>
          </w:p>
        </w:tc>
        <w:tc>
          <w:tcPr>
            <w:tcW w:w="1206"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 xml:space="preserve">Accept </w:t>
            </w:r>
            <w:proofErr w:type="spellStart"/>
            <w:r w:rsidRPr="005F73BD">
              <w:rPr>
                <w:rFonts w:ascii="Times New Roman" w:hAnsi="Times New Roman" w:cs="Times New Roman"/>
                <w:sz w:val="20"/>
                <w:szCs w:val="20"/>
              </w:rPr>
              <w:t>H</w:t>
            </w:r>
            <w:r w:rsidRPr="005F73BD">
              <w:rPr>
                <w:rFonts w:ascii="Times New Roman" w:hAnsi="Times New Roman" w:cs="Times New Roman"/>
                <w:sz w:val="20"/>
                <w:szCs w:val="20"/>
                <w:vertAlign w:val="subscript"/>
              </w:rPr>
              <w:t>o</w:t>
            </w:r>
            <w:proofErr w:type="spellEnd"/>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 xml:space="preserve">Accept </w:t>
            </w:r>
            <w:proofErr w:type="spellStart"/>
            <w:r w:rsidRPr="005F73BD">
              <w:rPr>
                <w:rFonts w:ascii="Times New Roman" w:hAnsi="Times New Roman" w:cs="Times New Roman"/>
                <w:sz w:val="20"/>
                <w:szCs w:val="20"/>
              </w:rPr>
              <w:t>H</w:t>
            </w:r>
            <w:r w:rsidRPr="005F73BD">
              <w:rPr>
                <w:rFonts w:ascii="Times New Roman" w:hAnsi="Times New Roman" w:cs="Times New Roman"/>
                <w:sz w:val="20"/>
                <w:szCs w:val="20"/>
                <w:vertAlign w:val="subscript"/>
              </w:rPr>
              <w:t>o</w:t>
            </w:r>
            <w:proofErr w:type="spellEnd"/>
          </w:p>
        </w:tc>
      </w:tr>
      <w:tr w:rsidR="005F73BD" w:rsidRPr="005F73BD" w:rsidTr="005D0CBF">
        <w:trPr>
          <w:trHeight w:val="980"/>
        </w:trPr>
        <w:tc>
          <w:tcPr>
            <w:tcW w:w="2652" w:type="dxa"/>
          </w:tcPr>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Social factors</w:t>
            </w:r>
          </w:p>
          <w:p w:rsidR="005F73BD" w:rsidRPr="005F73BD" w:rsidRDefault="005F73BD" w:rsidP="005F73BD">
            <w:pPr>
              <w:pStyle w:val="ListParagraph"/>
              <w:numPr>
                <w:ilvl w:val="0"/>
                <w:numId w:val="11"/>
              </w:numPr>
              <w:spacing w:after="0" w:line="240" w:lineRule="auto"/>
              <w:contextualSpacing w:val="0"/>
              <w:rPr>
                <w:rFonts w:ascii="Times New Roman" w:hAnsi="Times New Roman"/>
                <w:sz w:val="20"/>
                <w:szCs w:val="20"/>
              </w:rPr>
            </w:pPr>
            <w:r w:rsidRPr="005F73BD">
              <w:rPr>
                <w:rFonts w:ascii="Times New Roman" w:hAnsi="Times New Roman"/>
                <w:sz w:val="20"/>
                <w:szCs w:val="20"/>
              </w:rPr>
              <w:t>Household location</w:t>
            </w:r>
          </w:p>
          <w:p w:rsidR="005F73BD" w:rsidRPr="005F73BD" w:rsidRDefault="005F73BD" w:rsidP="005F73BD">
            <w:pPr>
              <w:pStyle w:val="ListParagraph"/>
              <w:numPr>
                <w:ilvl w:val="0"/>
                <w:numId w:val="11"/>
              </w:numPr>
              <w:spacing w:after="0" w:line="240" w:lineRule="auto"/>
              <w:contextualSpacing w:val="0"/>
              <w:rPr>
                <w:rFonts w:ascii="Times New Roman" w:hAnsi="Times New Roman"/>
                <w:sz w:val="20"/>
                <w:szCs w:val="20"/>
              </w:rPr>
            </w:pPr>
            <w:r w:rsidRPr="005F73BD">
              <w:rPr>
                <w:rFonts w:ascii="Times New Roman" w:hAnsi="Times New Roman"/>
                <w:sz w:val="20"/>
                <w:szCs w:val="20"/>
              </w:rPr>
              <w:t>Type of family</w:t>
            </w:r>
          </w:p>
          <w:p w:rsidR="005F73BD" w:rsidRPr="005F73BD" w:rsidRDefault="005F73BD" w:rsidP="005F73BD">
            <w:pPr>
              <w:pStyle w:val="ListParagraph"/>
              <w:numPr>
                <w:ilvl w:val="0"/>
                <w:numId w:val="11"/>
              </w:numPr>
              <w:spacing w:after="0" w:line="240" w:lineRule="auto"/>
              <w:contextualSpacing w:val="0"/>
              <w:rPr>
                <w:rFonts w:ascii="Times New Roman" w:hAnsi="Times New Roman"/>
                <w:sz w:val="20"/>
                <w:szCs w:val="20"/>
              </w:rPr>
            </w:pPr>
            <w:r w:rsidRPr="005F73BD">
              <w:rPr>
                <w:rFonts w:ascii="Times New Roman" w:hAnsi="Times New Roman"/>
                <w:sz w:val="20"/>
                <w:szCs w:val="20"/>
              </w:rPr>
              <w:t>Education</w:t>
            </w:r>
          </w:p>
        </w:tc>
        <w:tc>
          <w:tcPr>
            <w:tcW w:w="1128"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8.436</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3.474</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15.925</w:t>
            </w:r>
          </w:p>
          <w:p w:rsidR="005F73BD" w:rsidRPr="005F73BD" w:rsidRDefault="005F73BD" w:rsidP="005F73BD">
            <w:pPr>
              <w:spacing w:after="0" w:line="240" w:lineRule="auto"/>
              <w:rPr>
                <w:rFonts w:ascii="Times New Roman" w:hAnsi="Times New Roman" w:cs="Times New Roman"/>
                <w:sz w:val="20"/>
                <w:szCs w:val="20"/>
              </w:rPr>
            </w:pPr>
          </w:p>
        </w:tc>
        <w:tc>
          <w:tcPr>
            <w:tcW w:w="1227"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2</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2</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4</w:t>
            </w:r>
          </w:p>
        </w:tc>
        <w:tc>
          <w:tcPr>
            <w:tcW w:w="987"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5.99</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5.99</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9.49</w:t>
            </w:r>
          </w:p>
        </w:tc>
        <w:tc>
          <w:tcPr>
            <w:tcW w:w="1206"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 xml:space="preserve">Reject </w:t>
            </w:r>
            <w:proofErr w:type="spellStart"/>
            <w:r w:rsidRPr="005F73BD">
              <w:rPr>
                <w:rFonts w:ascii="Times New Roman" w:hAnsi="Times New Roman" w:cs="Times New Roman"/>
                <w:sz w:val="20"/>
                <w:szCs w:val="20"/>
              </w:rPr>
              <w:t>H</w:t>
            </w:r>
            <w:r w:rsidRPr="005F73BD">
              <w:rPr>
                <w:rFonts w:ascii="Times New Roman" w:hAnsi="Times New Roman" w:cs="Times New Roman"/>
                <w:sz w:val="20"/>
                <w:szCs w:val="20"/>
                <w:vertAlign w:val="subscript"/>
              </w:rPr>
              <w:t>o</w:t>
            </w:r>
            <w:proofErr w:type="spellEnd"/>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 xml:space="preserve">Accept </w:t>
            </w:r>
            <w:proofErr w:type="spellStart"/>
            <w:r w:rsidRPr="005F73BD">
              <w:rPr>
                <w:rFonts w:ascii="Times New Roman" w:hAnsi="Times New Roman" w:cs="Times New Roman"/>
                <w:sz w:val="20"/>
                <w:szCs w:val="20"/>
              </w:rPr>
              <w:t>H</w:t>
            </w:r>
            <w:r w:rsidRPr="005F73BD">
              <w:rPr>
                <w:rFonts w:ascii="Times New Roman" w:hAnsi="Times New Roman" w:cs="Times New Roman"/>
                <w:sz w:val="20"/>
                <w:szCs w:val="20"/>
                <w:vertAlign w:val="subscript"/>
              </w:rPr>
              <w:t>o</w:t>
            </w:r>
            <w:proofErr w:type="spellEnd"/>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 xml:space="preserve">Reject </w:t>
            </w:r>
            <w:proofErr w:type="spellStart"/>
            <w:r w:rsidRPr="005F73BD">
              <w:rPr>
                <w:rFonts w:ascii="Times New Roman" w:hAnsi="Times New Roman" w:cs="Times New Roman"/>
                <w:sz w:val="20"/>
                <w:szCs w:val="20"/>
              </w:rPr>
              <w:t>H</w:t>
            </w:r>
            <w:r w:rsidRPr="005F73BD">
              <w:rPr>
                <w:rFonts w:ascii="Times New Roman" w:hAnsi="Times New Roman" w:cs="Times New Roman"/>
                <w:sz w:val="20"/>
                <w:szCs w:val="20"/>
                <w:vertAlign w:val="subscript"/>
              </w:rPr>
              <w:t>o</w:t>
            </w:r>
            <w:proofErr w:type="spellEnd"/>
          </w:p>
        </w:tc>
      </w:tr>
      <w:tr w:rsidR="005F73BD" w:rsidRPr="005F73BD" w:rsidTr="005D0CBF">
        <w:trPr>
          <w:trHeight w:val="548"/>
        </w:trPr>
        <w:tc>
          <w:tcPr>
            <w:tcW w:w="2652" w:type="dxa"/>
          </w:tcPr>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Economic factors</w:t>
            </w:r>
          </w:p>
          <w:p w:rsidR="005F73BD" w:rsidRPr="005F73BD" w:rsidRDefault="005F73BD" w:rsidP="005F73BD">
            <w:pPr>
              <w:pStyle w:val="ListParagraph"/>
              <w:numPr>
                <w:ilvl w:val="0"/>
                <w:numId w:val="12"/>
              </w:numPr>
              <w:spacing w:after="0" w:line="240" w:lineRule="auto"/>
              <w:contextualSpacing w:val="0"/>
              <w:rPr>
                <w:rFonts w:ascii="Times New Roman" w:hAnsi="Times New Roman"/>
                <w:sz w:val="20"/>
                <w:szCs w:val="20"/>
              </w:rPr>
            </w:pPr>
            <w:r w:rsidRPr="005F73BD">
              <w:rPr>
                <w:rFonts w:ascii="Times New Roman" w:hAnsi="Times New Roman"/>
                <w:sz w:val="20"/>
                <w:szCs w:val="20"/>
              </w:rPr>
              <w:t>Occupation</w:t>
            </w:r>
          </w:p>
          <w:p w:rsidR="005F73BD" w:rsidRPr="005F73BD" w:rsidRDefault="005F73BD" w:rsidP="005F73BD">
            <w:pPr>
              <w:pStyle w:val="ListParagraph"/>
              <w:numPr>
                <w:ilvl w:val="0"/>
                <w:numId w:val="12"/>
              </w:numPr>
              <w:spacing w:after="0" w:line="240" w:lineRule="auto"/>
              <w:contextualSpacing w:val="0"/>
              <w:rPr>
                <w:rFonts w:ascii="Times New Roman" w:hAnsi="Times New Roman"/>
                <w:sz w:val="20"/>
                <w:szCs w:val="20"/>
              </w:rPr>
            </w:pPr>
            <w:r w:rsidRPr="005F73BD">
              <w:rPr>
                <w:rFonts w:ascii="Times New Roman" w:hAnsi="Times New Roman"/>
                <w:sz w:val="20"/>
                <w:szCs w:val="20"/>
              </w:rPr>
              <w:t>Income</w:t>
            </w:r>
          </w:p>
        </w:tc>
        <w:tc>
          <w:tcPr>
            <w:tcW w:w="1128"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17.643</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18.463</w:t>
            </w:r>
          </w:p>
        </w:tc>
        <w:tc>
          <w:tcPr>
            <w:tcW w:w="1227"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6</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6</w:t>
            </w:r>
          </w:p>
        </w:tc>
        <w:tc>
          <w:tcPr>
            <w:tcW w:w="987"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12.59</w:t>
            </w: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12.59</w:t>
            </w:r>
          </w:p>
        </w:tc>
        <w:tc>
          <w:tcPr>
            <w:tcW w:w="1206" w:type="dxa"/>
          </w:tcPr>
          <w:p w:rsidR="005F73BD" w:rsidRPr="005F73BD" w:rsidRDefault="005F73BD" w:rsidP="005F73BD">
            <w:pPr>
              <w:spacing w:after="0" w:line="240" w:lineRule="auto"/>
              <w:rPr>
                <w:rFonts w:ascii="Times New Roman" w:hAnsi="Times New Roman" w:cs="Times New Roman"/>
                <w:sz w:val="20"/>
                <w:szCs w:val="20"/>
              </w:rPr>
            </w:pPr>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 xml:space="preserve">Reject </w:t>
            </w:r>
            <w:proofErr w:type="spellStart"/>
            <w:r w:rsidRPr="005F73BD">
              <w:rPr>
                <w:rFonts w:ascii="Times New Roman" w:hAnsi="Times New Roman" w:cs="Times New Roman"/>
                <w:sz w:val="20"/>
                <w:szCs w:val="20"/>
              </w:rPr>
              <w:t>H</w:t>
            </w:r>
            <w:r w:rsidRPr="005F73BD">
              <w:rPr>
                <w:rFonts w:ascii="Times New Roman" w:hAnsi="Times New Roman" w:cs="Times New Roman"/>
                <w:sz w:val="20"/>
                <w:szCs w:val="20"/>
                <w:vertAlign w:val="subscript"/>
              </w:rPr>
              <w:t>o</w:t>
            </w:r>
            <w:proofErr w:type="spellEnd"/>
          </w:p>
          <w:p w:rsidR="005F73BD" w:rsidRPr="005F73BD" w:rsidRDefault="005F73BD" w:rsidP="005F73BD">
            <w:pPr>
              <w:spacing w:after="0" w:line="240" w:lineRule="auto"/>
              <w:rPr>
                <w:rFonts w:ascii="Times New Roman" w:hAnsi="Times New Roman" w:cs="Times New Roman"/>
                <w:sz w:val="20"/>
                <w:szCs w:val="20"/>
              </w:rPr>
            </w:pPr>
            <w:r w:rsidRPr="005F73BD">
              <w:rPr>
                <w:rFonts w:ascii="Times New Roman" w:hAnsi="Times New Roman" w:cs="Times New Roman"/>
                <w:sz w:val="20"/>
                <w:szCs w:val="20"/>
              </w:rPr>
              <w:t xml:space="preserve">Reject </w:t>
            </w:r>
            <w:proofErr w:type="spellStart"/>
            <w:r w:rsidRPr="005F73BD">
              <w:rPr>
                <w:rFonts w:ascii="Times New Roman" w:hAnsi="Times New Roman" w:cs="Times New Roman"/>
                <w:sz w:val="20"/>
                <w:szCs w:val="20"/>
              </w:rPr>
              <w:t>H</w:t>
            </w:r>
            <w:r w:rsidRPr="005F73BD">
              <w:rPr>
                <w:rFonts w:ascii="Times New Roman" w:hAnsi="Times New Roman" w:cs="Times New Roman"/>
                <w:sz w:val="20"/>
                <w:szCs w:val="20"/>
                <w:vertAlign w:val="subscript"/>
              </w:rPr>
              <w:t>o</w:t>
            </w:r>
            <w:proofErr w:type="spellEnd"/>
          </w:p>
        </w:tc>
      </w:tr>
    </w:tbl>
    <w:p w:rsidR="005F73BD" w:rsidRPr="005F73BD" w:rsidRDefault="005F73BD" w:rsidP="005D0CBF">
      <w:pPr>
        <w:spacing w:after="120" w:line="360" w:lineRule="auto"/>
        <w:rPr>
          <w:rFonts w:ascii="Times New Roman" w:hAnsi="Times New Roman" w:cs="Times New Roman"/>
          <w:sz w:val="20"/>
          <w:szCs w:val="20"/>
        </w:rPr>
      </w:pPr>
      <w:r w:rsidRPr="005F73BD">
        <w:rPr>
          <w:rFonts w:ascii="Times New Roman" w:hAnsi="Times New Roman" w:cs="Times New Roman"/>
          <w:sz w:val="20"/>
          <w:szCs w:val="20"/>
        </w:rPr>
        <w:t>Source: Primary Data</w:t>
      </w:r>
    </w:p>
    <w:p w:rsidR="005F73BD" w:rsidRPr="00502334" w:rsidRDefault="005F73BD" w:rsidP="003E1FE0">
      <w:pPr>
        <w:spacing w:after="120" w:line="336" w:lineRule="auto"/>
        <w:jc w:val="both"/>
        <w:rPr>
          <w:rFonts w:ascii="Times New Roman" w:hAnsi="Times New Roman"/>
        </w:rPr>
      </w:pPr>
      <w:r w:rsidRPr="00502334">
        <w:rPr>
          <w:rFonts w:ascii="Times New Roman" w:hAnsi="Times New Roman"/>
        </w:rPr>
        <w:t xml:space="preserve">The household location, education of the head of the family, occupational status of the family and family income were significant variables influencing the level of consumption of the household. The influx of foreign remittances in the study area might be another factor for increased consumption.  The other variables such as age, sex and type of family did not influence the consumption behaviour of the households. Similar findings were reported by </w:t>
      </w:r>
      <w:proofErr w:type="spellStart"/>
      <w:r w:rsidRPr="00502334">
        <w:rPr>
          <w:rFonts w:ascii="Times New Roman" w:hAnsi="Times New Roman"/>
        </w:rPr>
        <w:t>Cellinkutty</w:t>
      </w:r>
      <w:proofErr w:type="spellEnd"/>
      <w:r w:rsidRPr="00502334">
        <w:rPr>
          <w:rFonts w:ascii="Times New Roman" w:hAnsi="Times New Roman"/>
        </w:rPr>
        <w:t xml:space="preserve"> (2003) who observed that higher MPCE was associated with higher income, higher levels of education, better occupational status and residents in urban areas.</w:t>
      </w:r>
    </w:p>
    <w:p w:rsidR="005F73BD" w:rsidRPr="00502334" w:rsidRDefault="005D0CBF" w:rsidP="003E1FE0">
      <w:pPr>
        <w:spacing w:after="120" w:line="336" w:lineRule="auto"/>
        <w:jc w:val="both"/>
        <w:rPr>
          <w:rFonts w:ascii="Times New Roman" w:hAnsi="Times New Roman"/>
          <w:b/>
        </w:rPr>
      </w:pPr>
      <w:r>
        <w:rPr>
          <w:rFonts w:ascii="Times New Roman" w:hAnsi="Times New Roman"/>
          <w:b/>
        </w:rPr>
        <w:t xml:space="preserve">1.7 </w:t>
      </w:r>
      <w:r w:rsidR="005F73BD" w:rsidRPr="00502334">
        <w:rPr>
          <w:rFonts w:ascii="Times New Roman" w:hAnsi="Times New Roman"/>
          <w:b/>
        </w:rPr>
        <w:t>C</w:t>
      </w:r>
      <w:r w:rsidRPr="00502334">
        <w:rPr>
          <w:rFonts w:ascii="Times New Roman" w:hAnsi="Times New Roman"/>
          <w:b/>
        </w:rPr>
        <w:t>onclusion</w:t>
      </w:r>
    </w:p>
    <w:p w:rsidR="003E1FE0" w:rsidRPr="003E1FE0" w:rsidRDefault="005F73BD" w:rsidP="003E1FE0">
      <w:pPr>
        <w:spacing w:after="120" w:line="336" w:lineRule="auto"/>
        <w:jc w:val="both"/>
        <w:rPr>
          <w:rFonts w:ascii="Times New Roman" w:hAnsi="Times New Roman"/>
        </w:rPr>
      </w:pPr>
      <w:r w:rsidRPr="00502334">
        <w:rPr>
          <w:rFonts w:ascii="Times New Roman" w:hAnsi="Times New Roman"/>
        </w:rPr>
        <w:t xml:space="preserve">The present study tried to examine the consumption pattern among rural and urban households which are located at developed and underdeveloped regions. Education, income, occupation and location were important </w:t>
      </w:r>
      <w:r w:rsidRPr="00502334">
        <w:rPr>
          <w:rFonts w:ascii="Times New Roman" w:hAnsi="Times New Roman"/>
        </w:rPr>
        <w:lastRenderedPageBreak/>
        <w:t xml:space="preserve">determinants of consumption expenditure of the households. The study found that though cereal consumption has not declined in </w:t>
      </w:r>
      <w:proofErr w:type="spellStart"/>
      <w:r w:rsidRPr="00502334">
        <w:rPr>
          <w:rFonts w:ascii="Times New Roman" w:hAnsi="Times New Roman"/>
        </w:rPr>
        <w:t>Kasaragod</w:t>
      </w:r>
      <w:proofErr w:type="spellEnd"/>
      <w:r w:rsidRPr="00502334">
        <w:rPr>
          <w:rFonts w:ascii="Times New Roman" w:hAnsi="Times New Roman"/>
        </w:rPr>
        <w:t xml:space="preserve"> district, there is food diversification as a result of increased income. Future research in this area could be an extension of the present study by analysing the food consumption behaviour and its impact upon health or nutritional outcomes.</w:t>
      </w:r>
    </w:p>
    <w:p w:rsidR="003E1FE0" w:rsidRPr="00502334" w:rsidRDefault="005F73BD" w:rsidP="005F73BD">
      <w:pPr>
        <w:spacing w:after="120" w:line="360" w:lineRule="auto"/>
        <w:jc w:val="both"/>
        <w:rPr>
          <w:rFonts w:ascii="Times New Roman" w:hAnsi="Times New Roman"/>
          <w:b/>
        </w:rPr>
      </w:pPr>
      <w:r w:rsidRPr="00502334">
        <w:rPr>
          <w:rFonts w:ascii="Times New Roman" w:hAnsi="Times New Roman"/>
          <w:b/>
        </w:rPr>
        <w:t>R</w:t>
      </w:r>
      <w:r w:rsidR="005D0CBF">
        <w:rPr>
          <w:rFonts w:ascii="Times New Roman" w:hAnsi="Times New Roman"/>
          <w:b/>
        </w:rPr>
        <w:t>eference</w:t>
      </w:r>
    </w:p>
    <w:p w:rsidR="005F73BD" w:rsidRPr="00502334" w:rsidRDefault="005F73BD" w:rsidP="003E1FE0">
      <w:pPr>
        <w:spacing w:after="0" w:line="240" w:lineRule="auto"/>
        <w:ind w:left="720" w:hanging="720"/>
        <w:jc w:val="both"/>
        <w:rPr>
          <w:rFonts w:ascii="Times New Roman" w:hAnsi="Times New Roman"/>
        </w:rPr>
      </w:pPr>
      <w:proofErr w:type="spellStart"/>
      <w:r w:rsidRPr="00502334">
        <w:rPr>
          <w:rFonts w:ascii="Times New Roman" w:hAnsi="Times New Roman"/>
        </w:rPr>
        <w:t>Cellinkutty</w:t>
      </w:r>
      <w:proofErr w:type="spellEnd"/>
      <w:r w:rsidRPr="00502334">
        <w:rPr>
          <w:rFonts w:ascii="Times New Roman" w:hAnsi="Times New Roman"/>
        </w:rPr>
        <w:t xml:space="preserve">, Mathew (2003): ‘Consumption Expenditure of Scheduled Caste Households of Kerala: A Study of </w:t>
      </w:r>
      <w:proofErr w:type="spellStart"/>
      <w:r w:rsidRPr="00502334">
        <w:rPr>
          <w:rFonts w:ascii="Times New Roman" w:hAnsi="Times New Roman"/>
        </w:rPr>
        <w:t>Idukki</w:t>
      </w:r>
      <w:proofErr w:type="spellEnd"/>
      <w:r w:rsidRPr="00502334">
        <w:rPr>
          <w:rFonts w:ascii="Times New Roman" w:hAnsi="Times New Roman"/>
        </w:rPr>
        <w:t xml:space="preserve"> District’, PhD Thesis submitted to the Cochin University of Science and Technology.</w:t>
      </w:r>
    </w:p>
    <w:p w:rsidR="005F73BD" w:rsidRPr="00502334" w:rsidRDefault="005F73BD" w:rsidP="003E1FE0">
      <w:pPr>
        <w:spacing w:after="0" w:line="240" w:lineRule="auto"/>
        <w:ind w:left="720" w:hanging="720"/>
        <w:jc w:val="both"/>
        <w:rPr>
          <w:rFonts w:ascii="Times New Roman" w:hAnsi="Times New Roman"/>
        </w:rPr>
      </w:pPr>
      <w:r w:rsidRPr="00502334">
        <w:rPr>
          <w:rFonts w:ascii="Times New Roman" w:hAnsi="Times New Roman"/>
        </w:rPr>
        <w:t xml:space="preserve">Chand, Ramesh (2005): ‘Whither India’s Food Policy? </w:t>
      </w:r>
      <w:proofErr w:type="gramStart"/>
      <w:r w:rsidRPr="00502334">
        <w:rPr>
          <w:rFonts w:ascii="Times New Roman" w:hAnsi="Times New Roman"/>
        </w:rPr>
        <w:t xml:space="preserve">From Food Security to Food Deprivation’, </w:t>
      </w:r>
      <w:r w:rsidRPr="00502334">
        <w:rPr>
          <w:rFonts w:ascii="Times New Roman" w:hAnsi="Times New Roman"/>
          <w:i/>
        </w:rPr>
        <w:t>Economic and Political Weekly</w:t>
      </w:r>
      <w:r w:rsidRPr="00502334">
        <w:rPr>
          <w:rFonts w:ascii="Times New Roman" w:hAnsi="Times New Roman"/>
        </w:rPr>
        <w:t>, Vol.40, No.11, pp.1055-1062.</w:t>
      </w:r>
      <w:proofErr w:type="gramEnd"/>
      <w:r w:rsidRPr="00502334">
        <w:rPr>
          <w:rFonts w:ascii="Times New Roman" w:hAnsi="Times New Roman"/>
        </w:rPr>
        <w:t xml:space="preserve"> </w:t>
      </w:r>
    </w:p>
    <w:p w:rsidR="005F73BD" w:rsidRPr="00502334" w:rsidRDefault="005F73BD" w:rsidP="003E1FE0">
      <w:pPr>
        <w:spacing w:after="0" w:line="240" w:lineRule="auto"/>
        <w:ind w:left="720" w:hanging="720"/>
        <w:jc w:val="both"/>
        <w:rPr>
          <w:rFonts w:ascii="Times New Roman" w:hAnsi="Times New Roman"/>
        </w:rPr>
      </w:pPr>
      <w:r w:rsidRPr="00502334">
        <w:rPr>
          <w:rFonts w:ascii="Times New Roman" w:hAnsi="Times New Roman"/>
        </w:rPr>
        <w:t xml:space="preserve">Kumar, </w:t>
      </w:r>
      <w:proofErr w:type="spellStart"/>
      <w:r w:rsidRPr="00502334">
        <w:rPr>
          <w:rFonts w:ascii="Times New Roman" w:hAnsi="Times New Roman"/>
        </w:rPr>
        <w:t>Anjani</w:t>
      </w:r>
      <w:proofErr w:type="spellEnd"/>
      <w:r w:rsidRPr="00502334">
        <w:rPr>
          <w:rFonts w:ascii="Times New Roman" w:hAnsi="Times New Roman"/>
        </w:rPr>
        <w:t xml:space="preserve">, M C S </w:t>
      </w:r>
      <w:proofErr w:type="spellStart"/>
      <w:r w:rsidRPr="00502334">
        <w:rPr>
          <w:rFonts w:ascii="Times New Roman" w:hAnsi="Times New Roman"/>
        </w:rPr>
        <w:t>Bantilan</w:t>
      </w:r>
      <w:proofErr w:type="spellEnd"/>
      <w:r w:rsidRPr="00502334">
        <w:rPr>
          <w:rFonts w:ascii="Times New Roman" w:hAnsi="Times New Roman"/>
        </w:rPr>
        <w:t xml:space="preserve">, </w:t>
      </w:r>
      <w:proofErr w:type="spellStart"/>
      <w:r w:rsidRPr="00502334">
        <w:rPr>
          <w:rFonts w:ascii="Times New Roman" w:hAnsi="Times New Roman"/>
        </w:rPr>
        <w:t>Praduman</w:t>
      </w:r>
      <w:proofErr w:type="spellEnd"/>
      <w:r w:rsidRPr="00502334">
        <w:rPr>
          <w:rFonts w:ascii="Times New Roman" w:hAnsi="Times New Roman"/>
        </w:rPr>
        <w:t xml:space="preserve"> Kumar, </w:t>
      </w:r>
      <w:proofErr w:type="spellStart"/>
      <w:r w:rsidRPr="00502334">
        <w:rPr>
          <w:rFonts w:ascii="Times New Roman" w:hAnsi="Times New Roman"/>
        </w:rPr>
        <w:t>Sant</w:t>
      </w:r>
      <w:proofErr w:type="spellEnd"/>
      <w:r w:rsidRPr="00502334">
        <w:rPr>
          <w:rFonts w:ascii="Times New Roman" w:hAnsi="Times New Roman"/>
        </w:rPr>
        <w:t xml:space="preserve"> Kumar and Shiv </w:t>
      </w:r>
      <w:proofErr w:type="spellStart"/>
      <w:r w:rsidRPr="00502334">
        <w:rPr>
          <w:rFonts w:ascii="Times New Roman" w:hAnsi="Times New Roman"/>
        </w:rPr>
        <w:t>Jee</w:t>
      </w:r>
      <w:proofErr w:type="spellEnd"/>
      <w:r w:rsidRPr="00502334">
        <w:rPr>
          <w:rFonts w:ascii="Times New Roman" w:hAnsi="Times New Roman"/>
        </w:rPr>
        <w:t xml:space="preserve"> (2012): ‘Food Security in India: Trends, Patterns and Determinants’, </w:t>
      </w:r>
      <w:r w:rsidRPr="00502334">
        <w:rPr>
          <w:rFonts w:ascii="Times New Roman" w:hAnsi="Times New Roman"/>
          <w:i/>
        </w:rPr>
        <w:t>Indian Journal of Agricultural Economics</w:t>
      </w:r>
      <w:r w:rsidRPr="00502334">
        <w:rPr>
          <w:rFonts w:ascii="Times New Roman" w:hAnsi="Times New Roman"/>
        </w:rPr>
        <w:t>, Vol.67, No.3, pp.445-463.</w:t>
      </w:r>
    </w:p>
    <w:p w:rsidR="005F73BD" w:rsidRPr="00502334" w:rsidRDefault="005F73BD" w:rsidP="003E1FE0">
      <w:pPr>
        <w:spacing w:after="0" w:line="240" w:lineRule="auto"/>
        <w:ind w:left="720" w:hanging="720"/>
        <w:jc w:val="both"/>
        <w:rPr>
          <w:rFonts w:ascii="Times New Roman" w:hAnsi="Times New Roman"/>
        </w:rPr>
      </w:pPr>
      <w:proofErr w:type="spellStart"/>
      <w:r w:rsidRPr="00502334">
        <w:rPr>
          <w:rFonts w:ascii="Times New Roman" w:hAnsi="Times New Roman"/>
        </w:rPr>
        <w:t>Meenakshi</w:t>
      </w:r>
      <w:proofErr w:type="spellEnd"/>
      <w:r w:rsidRPr="00502334">
        <w:rPr>
          <w:rFonts w:ascii="Times New Roman" w:hAnsi="Times New Roman"/>
        </w:rPr>
        <w:t xml:space="preserve">, J V and </w:t>
      </w:r>
      <w:proofErr w:type="spellStart"/>
      <w:r w:rsidRPr="00502334">
        <w:rPr>
          <w:rFonts w:ascii="Times New Roman" w:hAnsi="Times New Roman"/>
        </w:rPr>
        <w:t>Brinda</w:t>
      </w:r>
      <w:proofErr w:type="spellEnd"/>
      <w:r w:rsidRPr="00502334">
        <w:rPr>
          <w:rFonts w:ascii="Times New Roman" w:hAnsi="Times New Roman"/>
        </w:rPr>
        <w:t xml:space="preserve"> </w:t>
      </w:r>
      <w:proofErr w:type="spellStart"/>
      <w:r w:rsidRPr="00502334">
        <w:rPr>
          <w:rFonts w:ascii="Times New Roman" w:hAnsi="Times New Roman"/>
        </w:rPr>
        <w:t>Vishwanathan</w:t>
      </w:r>
      <w:proofErr w:type="spellEnd"/>
      <w:r w:rsidRPr="00502334">
        <w:rPr>
          <w:rFonts w:ascii="Times New Roman" w:hAnsi="Times New Roman"/>
        </w:rPr>
        <w:t xml:space="preserve"> (2003): ‘Calorie Deprivation in Rural India, 1983-1999-2000’, Economic and Political Weekly, pp.369-375.</w:t>
      </w:r>
    </w:p>
    <w:p w:rsidR="005F73BD" w:rsidRPr="00502334" w:rsidRDefault="005F73BD" w:rsidP="003E1FE0">
      <w:pPr>
        <w:spacing w:after="0" w:line="240" w:lineRule="auto"/>
        <w:ind w:left="720" w:hanging="720"/>
        <w:jc w:val="both"/>
        <w:rPr>
          <w:rFonts w:ascii="Times New Roman" w:hAnsi="Times New Roman"/>
        </w:rPr>
      </w:pPr>
      <w:r w:rsidRPr="00502334">
        <w:rPr>
          <w:rFonts w:ascii="Times New Roman" w:hAnsi="Times New Roman"/>
        </w:rPr>
        <w:t xml:space="preserve">Mishra, </w:t>
      </w:r>
      <w:proofErr w:type="spellStart"/>
      <w:r w:rsidRPr="00502334">
        <w:rPr>
          <w:rFonts w:ascii="Times New Roman" w:hAnsi="Times New Roman"/>
        </w:rPr>
        <w:t>Tanusree</w:t>
      </w:r>
      <w:proofErr w:type="spellEnd"/>
      <w:r w:rsidRPr="00502334">
        <w:rPr>
          <w:rFonts w:ascii="Times New Roman" w:hAnsi="Times New Roman"/>
        </w:rPr>
        <w:t xml:space="preserve"> and </w:t>
      </w:r>
      <w:proofErr w:type="spellStart"/>
      <w:r w:rsidRPr="00502334">
        <w:rPr>
          <w:rFonts w:ascii="Times New Roman" w:hAnsi="Times New Roman"/>
        </w:rPr>
        <w:t>Prankrishna</w:t>
      </w:r>
      <w:proofErr w:type="spellEnd"/>
      <w:r w:rsidRPr="00502334">
        <w:rPr>
          <w:rFonts w:ascii="Times New Roman" w:hAnsi="Times New Roman"/>
        </w:rPr>
        <w:t xml:space="preserve"> Pal (2011): “Consumption Expenditure in Rural India: An Inter-State Analysis”, in </w:t>
      </w:r>
      <w:proofErr w:type="spellStart"/>
      <w:r w:rsidRPr="00502334">
        <w:rPr>
          <w:rFonts w:ascii="Times New Roman" w:hAnsi="Times New Roman"/>
        </w:rPr>
        <w:t>Prankrishna</w:t>
      </w:r>
      <w:proofErr w:type="spellEnd"/>
      <w:r w:rsidRPr="00502334">
        <w:rPr>
          <w:rFonts w:ascii="Times New Roman" w:hAnsi="Times New Roman"/>
        </w:rPr>
        <w:t xml:space="preserve"> Pal, </w:t>
      </w:r>
      <w:proofErr w:type="spellStart"/>
      <w:r w:rsidRPr="00502334">
        <w:rPr>
          <w:rFonts w:ascii="Times New Roman" w:hAnsi="Times New Roman"/>
        </w:rPr>
        <w:t>Alok</w:t>
      </w:r>
      <w:proofErr w:type="spellEnd"/>
      <w:r w:rsidRPr="00502334">
        <w:rPr>
          <w:rFonts w:ascii="Times New Roman" w:hAnsi="Times New Roman"/>
        </w:rPr>
        <w:t xml:space="preserve"> K </w:t>
      </w:r>
      <w:proofErr w:type="spellStart"/>
      <w:r w:rsidRPr="00502334">
        <w:rPr>
          <w:rFonts w:ascii="Times New Roman" w:hAnsi="Times New Roman"/>
        </w:rPr>
        <w:t>Baumicand</w:t>
      </w:r>
      <w:proofErr w:type="spellEnd"/>
      <w:r w:rsidRPr="00502334">
        <w:rPr>
          <w:rFonts w:ascii="Times New Roman" w:hAnsi="Times New Roman"/>
        </w:rPr>
        <w:t xml:space="preserve"> </w:t>
      </w:r>
      <w:proofErr w:type="spellStart"/>
      <w:r w:rsidRPr="00502334">
        <w:rPr>
          <w:rFonts w:ascii="Times New Roman" w:hAnsi="Times New Roman"/>
        </w:rPr>
        <w:t>Kaushik</w:t>
      </w:r>
      <w:proofErr w:type="spellEnd"/>
      <w:r w:rsidRPr="00502334">
        <w:rPr>
          <w:rFonts w:ascii="Times New Roman" w:hAnsi="Times New Roman"/>
        </w:rPr>
        <w:t xml:space="preserve"> Gupta (eds.), </w:t>
      </w:r>
      <w:r w:rsidRPr="00502334">
        <w:rPr>
          <w:rFonts w:ascii="Times New Roman" w:hAnsi="Times New Roman"/>
          <w:i/>
        </w:rPr>
        <w:t>Emerging issues in the Indian Economy</w:t>
      </w:r>
      <w:r w:rsidRPr="00502334">
        <w:rPr>
          <w:rFonts w:ascii="Times New Roman" w:hAnsi="Times New Roman"/>
        </w:rPr>
        <w:t xml:space="preserve"> (New Delhi: Regal Publications), pp.510-536. </w:t>
      </w:r>
    </w:p>
    <w:p w:rsidR="005F73BD" w:rsidRPr="00502334" w:rsidRDefault="005F73BD" w:rsidP="003E1FE0">
      <w:pPr>
        <w:spacing w:after="0" w:line="240" w:lineRule="auto"/>
        <w:ind w:left="720" w:hanging="720"/>
        <w:jc w:val="both"/>
        <w:rPr>
          <w:rFonts w:ascii="Times New Roman" w:hAnsi="Times New Roman"/>
        </w:rPr>
      </w:pPr>
      <w:r w:rsidRPr="00502334">
        <w:rPr>
          <w:rFonts w:ascii="Times New Roman" w:hAnsi="Times New Roman"/>
        </w:rPr>
        <w:t xml:space="preserve">Nair, </w:t>
      </w:r>
      <w:proofErr w:type="spellStart"/>
      <w:r w:rsidRPr="00502334">
        <w:rPr>
          <w:rFonts w:ascii="Times New Roman" w:hAnsi="Times New Roman"/>
        </w:rPr>
        <w:t>Sthanu</w:t>
      </w:r>
      <w:proofErr w:type="spellEnd"/>
      <w:r w:rsidRPr="00502334">
        <w:rPr>
          <w:rFonts w:ascii="Times New Roman" w:hAnsi="Times New Roman"/>
        </w:rPr>
        <w:t xml:space="preserve"> R and </w:t>
      </w:r>
      <w:proofErr w:type="spellStart"/>
      <w:r w:rsidRPr="00502334">
        <w:rPr>
          <w:rFonts w:ascii="Times New Roman" w:hAnsi="Times New Roman"/>
        </w:rPr>
        <w:t>Leena</w:t>
      </w:r>
      <w:proofErr w:type="spellEnd"/>
      <w:r w:rsidRPr="00502334">
        <w:rPr>
          <w:rFonts w:ascii="Times New Roman" w:hAnsi="Times New Roman"/>
        </w:rPr>
        <w:t xml:space="preserve"> Mary </w:t>
      </w:r>
      <w:proofErr w:type="spellStart"/>
      <w:r w:rsidRPr="00502334">
        <w:rPr>
          <w:rFonts w:ascii="Times New Roman" w:hAnsi="Times New Roman"/>
        </w:rPr>
        <w:t>Eapen</w:t>
      </w:r>
      <w:proofErr w:type="spellEnd"/>
      <w:r w:rsidRPr="00502334">
        <w:rPr>
          <w:rFonts w:ascii="Times New Roman" w:hAnsi="Times New Roman"/>
        </w:rPr>
        <w:t xml:space="preserve"> (2012): ‘Food Price Inflation in India (2008 to 2010): A Commodity-wise Analysis of the Causal Factors’, Economic and Political Weekly, </w:t>
      </w:r>
      <w:proofErr w:type="spellStart"/>
      <w:r w:rsidRPr="00502334">
        <w:rPr>
          <w:rFonts w:ascii="Times New Roman" w:hAnsi="Times New Roman"/>
        </w:rPr>
        <w:t>Vol.XLVII</w:t>
      </w:r>
      <w:proofErr w:type="spellEnd"/>
      <w:r w:rsidRPr="00502334">
        <w:rPr>
          <w:rFonts w:ascii="Times New Roman" w:hAnsi="Times New Roman"/>
        </w:rPr>
        <w:t>, No.20, pp.46-54.</w:t>
      </w:r>
    </w:p>
    <w:p w:rsidR="005F73BD" w:rsidRPr="00502334" w:rsidRDefault="005F73BD" w:rsidP="003E1FE0">
      <w:pPr>
        <w:spacing w:after="0" w:line="240" w:lineRule="auto"/>
        <w:ind w:left="720" w:hanging="720"/>
        <w:jc w:val="both"/>
        <w:rPr>
          <w:rFonts w:ascii="Times New Roman" w:hAnsi="Times New Roman"/>
        </w:rPr>
      </w:pPr>
      <w:proofErr w:type="spellStart"/>
      <w:r w:rsidRPr="00502334">
        <w:rPr>
          <w:rFonts w:ascii="Times New Roman" w:hAnsi="Times New Roman"/>
        </w:rPr>
        <w:t>Radhakrishna</w:t>
      </w:r>
      <w:proofErr w:type="spellEnd"/>
      <w:r w:rsidRPr="00502334">
        <w:rPr>
          <w:rFonts w:ascii="Times New Roman" w:hAnsi="Times New Roman"/>
        </w:rPr>
        <w:t xml:space="preserve">, R (2005): ‘Food and Nutrition Security of the Poor: Emerging Perspectives and Policy Issues’, </w:t>
      </w:r>
      <w:r w:rsidRPr="00502334">
        <w:rPr>
          <w:rFonts w:ascii="Times New Roman" w:hAnsi="Times New Roman"/>
          <w:i/>
        </w:rPr>
        <w:t>Economic and Political Weekly</w:t>
      </w:r>
      <w:r w:rsidRPr="00502334">
        <w:rPr>
          <w:rFonts w:ascii="Times New Roman" w:hAnsi="Times New Roman"/>
        </w:rPr>
        <w:t xml:space="preserve">, Vol. 40, No.18, pp.1817-21. </w:t>
      </w:r>
    </w:p>
    <w:p w:rsidR="000E4885" w:rsidRPr="0089232C" w:rsidRDefault="005F73BD" w:rsidP="00FD1AA0">
      <w:pPr>
        <w:spacing w:after="0" w:line="240" w:lineRule="auto"/>
        <w:ind w:left="720" w:hanging="720"/>
        <w:jc w:val="both"/>
        <w:rPr>
          <w:rFonts w:ascii="Times New Roman" w:hAnsi="Times New Roman"/>
        </w:rPr>
      </w:pPr>
      <w:proofErr w:type="spellStart"/>
      <w:r w:rsidRPr="00502334">
        <w:rPr>
          <w:rFonts w:ascii="Times New Roman" w:hAnsi="Times New Roman"/>
        </w:rPr>
        <w:t>Rao</w:t>
      </w:r>
      <w:proofErr w:type="spellEnd"/>
      <w:r w:rsidRPr="00502334">
        <w:rPr>
          <w:rFonts w:ascii="Times New Roman" w:hAnsi="Times New Roman"/>
        </w:rPr>
        <w:t xml:space="preserve">, C H </w:t>
      </w:r>
      <w:proofErr w:type="spellStart"/>
      <w:r w:rsidRPr="00502334">
        <w:rPr>
          <w:rFonts w:ascii="Times New Roman" w:hAnsi="Times New Roman"/>
        </w:rPr>
        <w:t>Hanumantha</w:t>
      </w:r>
      <w:proofErr w:type="spellEnd"/>
      <w:r w:rsidRPr="00502334">
        <w:rPr>
          <w:rFonts w:ascii="Times New Roman" w:hAnsi="Times New Roman"/>
        </w:rPr>
        <w:t xml:space="preserve"> (2000): ‘Declining Demand for </w:t>
      </w:r>
      <w:proofErr w:type="spellStart"/>
      <w:r w:rsidRPr="00502334">
        <w:rPr>
          <w:rFonts w:ascii="Times New Roman" w:hAnsi="Times New Roman"/>
        </w:rPr>
        <w:t>Foodgrains</w:t>
      </w:r>
      <w:proofErr w:type="spellEnd"/>
      <w:r w:rsidRPr="00502334">
        <w:rPr>
          <w:rFonts w:ascii="Times New Roman" w:hAnsi="Times New Roman"/>
        </w:rPr>
        <w:t xml:space="preserve"> in Rural India: Causes and Implications’, </w:t>
      </w:r>
      <w:r w:rsidRPr="00502334">
        <w:rPr>
          <w:rFonts w:ascii="Times New Roman" w:hAnsi="Times New Roman"/>
          <w:i/>
        </w:rPr>
        <w:t>Economic and Political Weekly</w:t>
      </w:r>
      <w:r w:rsidRPr="00502334">
        <w:rPr>
          <w:rFonts w:ascii="Times New Roman" w:hAnsi="Times New Roman"/>
        </w:rPr>
        <w:t>, Vol. 35, No.4, pp.201-206.</w:t>
      </w:r>
    </w:p>
    <w:sectPr w:rsidR="000E4885" w:rsidRPr="0089232C" w:rsidSect="004E1EA3">
      <w:headerReference w:type="even" r:id="rId11"/>
      <w:headerReference w:type="default" r:id="rId12"/>
      <w:footerReference w:type="even" r:id="rId13"/>
      <w:footerReference w:type="default" r:id="rId14"/>
      <w:headerReference w:type="first" r:id="rId15"/>
      <w:footerReference w:type="first" r:id="rId16"/>
      <w:pgSz w:w="10080" w:h="13680" w:code="9"/>
      <w:pgMar w:top="1440" w:right="1440" w:bottom="1440" w:left="1440" w:header="720" w:footer="720" w:gutter="0"/>
      <w:pgNumType w:start="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99" w:rsidRDefault="00B44599" w:rsidP="00470FC8">
      <w:pPr>
        <w:spacing w:after="0" w:line="240" w:lineRule="auto"/>
      </w:pPr>
      <w:r>
        <w:separator/>
      </w:r>
    </w:p>
  </w:endnote>
  <w:endnote w:type="continuationSeparator" w:id="0">
    <w:p w:rsidR="00B44599" w:rsidRDefault="00B44599" w:rsidP="0047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225"/>
      <w:gridCol w:w="5191"/>
    </w:tblGrid>
    <w:tr w:rsidR="009B309F">
      <w:trPr>
        <w:trHeight w:val="360"/>
      </w:trPr>
      <w:tc>
        <w:tcPr>
          <w:tcW w:w="1500" w:type="pct"/>
          <w:shd w:val="clear" w:color="auto" w:fill="8064A2" w:themeFill="accent4"/>
        </w:tcPr>
        <w:p w:rsidR="009B309F" w:rsidRDefault="009B309F">
          <w:pPr>
            <w:pStyle w:val="Footer"/>
            <w:rPr>
              <w:color w:val="FFFFFF" w:themeColor="background1"/>
            </w:rPr>
          </w:pPr>
          <w:r>
            <w:fldChar w:fldCharType="begin"/>
          </w:r>
          <w:r>
            <w:instrText xml:space="preserve"> PAGE   \* MERGEFORMAT </w:instrText>
          </w:r>
          <w:r>
            <w:fldChar w:fldCharType="separate"/>
          </w:r>
          <w:r w:rsidR="00012C5A" w:rsidRPr="00012C5A">
            <w:rPr>
              <w:noProof/>
              <w:color w:val="FFFFFF" w:themeColor="background1"/>
            </w:rPr>
            <w:t>98</w:t>
          </w:r>
          <w:r>
            <w:rPr>
              <w:noProof/>
              <w:color w:val="FFFFFF" w:themeColor="background1"/>
            </w:rPr>
            <w:fldChar w:fldCharType="end"/>
          </w:r>
        </w:p>
      </w:tc>
      <w:tc>
        <w:tcPr>
          <w:tcW w:w="3500" w:type="pct"/>
        </w:tcPr>
        <w:p w:rsidR="009B309F" w:rsidRDefault="009B309F">
          <w:pPr>
            <w:pStyle w:val="Footer"/>
          </w:pPr>
        </w:p>
      </w:tc>
    </w:tr>
  </w:tbl>
  <w:p w:rsidR="003E1FE0" w:rsidRDefault="003E1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9B309F">
      <w:trPr>
        <w:trHeight w:val="360"/>
      </w:trPr>
      <w:tc>
        <w:tcPr>
          <w:tcW w:w="3500" w:type="pct"/>
        </w:tcPr>
        <w:p w:rsidR="009B309F" w:rsidRDefault="009B309F">
          <w:pPr>
            <w:pStyle w:val="Footer"/>
            <w:jc w:val="right"/>
          </w:pPr>
        </w:p>
      </w:tc>
      <w:tc>
        <w:tcPr>
          <w:tcW w:w="1500" w:type="pct"/>
          <w:shd w:val="clear" w:color="auto" w:fill="8064A2" w:themeFill="accent4"/>
        </w:tcPr>
        <w:p w:rsidR="009B309F" w:rsidRDefault="009B309F">
          <w:pPr>
            <w:pStyle w:val="Footer"/>
            <w:jc w:val="right"/>
            <w:rPr>
              <w:color w:val="FFFFFF" w:themeColor="background1"/>
            </w:rPr>
          </w:pPr>
          <w:r>
            <w:fldChar w:fldCharType="begin"/>
          </w:r>
          <w:r>
            <w:instrText xml:space="preserve"> PAGE    \* MERGEFORMAT </w:instrText>
          </w:r>
          <w:r>
            <w:fldChar w:fldCharType="separate"/>
          </w:r>
          <w:r w:rsidR="00012C5A" w:rsidRPr="00012C5A">
            <w:rPr>
              <w:noProof/>
              <w:color w:val="FFFFFF" w:themeColor="background1"/>
            </w:rPr>
            <w:t>97</w:t>
          </w:r>
          <w:r>
            <w:rPr>
              <w:noProof/>
              <w:color w:val="FFFFFF" w:themeColor="background1"/>
            </w:rPr>
            <w:fldChar w:fldCharType="end"/>
          </w:r>
        </w:p>
      </w:tc>
    </w:tr>
  </w:tbl>
  <w:p w:rsidR="003E1FE0" w:rsidRDefault="003E1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9B309F">
      <w:trPr>
        <w:trHeight w:val="360"/>
      </w:trPr>
      <w:tc>
        <w:tcPr>
          <w:tcW w:w="3500" w:type="pct"/>
        </w:tcPr>
        <w:p w:rsidR="009B309F" w:rsidRDefault="009B309F">
          <w:pPr>
            <w:pStyle w:val="Footer"/>
            <w:jc w:val="right"/>
          </w:pPr>
        </w:p>
      </w:tc>
      <w:tc>
        <w:tcPr>
          <w:tcW w:w="1500" w:type="pct"/>
          <w:shd w:val="clear" w:color="auto" w:fill="8064A2" w:themeFill="accent4"/>
        </w:tcPr>
        <w:p w:rsidR="009B309F" w:rsidRDefault="009B309F">
          <w:pPr>
            <w:pStyle w:val="Footer"/>
            <w:jc w:val="right"/>
            <w:rPr>
              <w:color w:val="FFFFFF" w:themeColor="background1"/>
            </w:rPr>
          </w:pPr>
          <w:r>
            <w:fldChar w:fldCharType="begin"/>
          </w:r>
          <w:r>
            <w:instrText xml:space="preserve"> PAGE    \* MERGEFORMAT </w:instrText>
          </w:r>
          <w:r>
            <w:fldChar w:fldCharType="separate"/>
          </w:r>
          <w:r w:rsidR="00012C5A" w:rsidRPr="00012C5A">
            <w:rPr>
              <w:noProof/>
              <w:color w:val="FFFFFF" w:themeColor="background1"/>
            </w:rPr>
            <w:t>91</w:t>
          </w:r>
          <w:r>
            <w:rPr>
              <w:noProof/>
              <w:color w:val="FFFFFF" w:themeColor="background1"/>
            </w:rPr>
            <w:fldChar w:fldCharType="end"/>
          </w:r>
        </w:p>
      </w:tc>
    </w:tr>
  </w:tbl>
  <w:p w:rsidR="003E1FE0" w:rsidRDefault="003E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99" w:rsidRDefault="00B44599" w:rsidP="00470FC8">
      <w:pPr>
        <w:spacing w:after="0" w:line="240" w:lineRule="auto"/>
      </w:pPr>
      <w:r>
        <w:separator/>
      </w:r>
    </w:p>
  </w:footnote>
  <w:footnote w:type="continuationSeparator" w:id="0">
    <w:p w:rsidR="00B44599" w:rsidRDefault="00B44599" w:rsidP="00470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E0" w:rsidRPr="009B309F" w:rsidRDefault="009B309F" w:rsidP="009B309F">
    <w:pPr>
      <w:pStyle w:val="Header"/>
      <w:rPr>
        <w:i/>
      </w:rPr>
    </w:pPr>
    <w:r w:rsidRPr="009B309F">
      <w:rPr>
        <w:i/>
      </w:rPr>
      <w:t xml:space="preserve">K Antony and </w:t>
    </w:r>
    <w:proofErr w:type="spellStart"/>
    <w:r w:rsidRPr="009B309F">
      <w:rPr>
        <w:i/>
      </w:rPr>
      <w:t>Rashmi</w:t>
    </w:r>
    <w:proofErr w:type="spellEnd"/>
    <w:r w:rsidRPr="009B309F">
      <w:rPr>
        <w:i/>
      </w:rPr>
      <w:ptab w:relativeTo="margin" w:alignment="right" w:leader="none"/>
    </w:r>
    <w:r w:rsidRPr="009B309F">
      <w:rPr>
        <w:i/>
      </w:rPr>
      <w:t xml:space="preserve">Consumption </w:t>
    </w:r>
    <w:proofErr w:type="gramStart"/>
    <w:r w:rsidRPr="009B309F">
      <w:rPr>
        <w:i/>
      </w:rPr>
      <w:t>Pattern ...</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E0" w:rsidRPr="009B309F" w:rsidRDefault="009B309F">
    <w:pPr>
      <w:pStyle w:val="Header"/>
      <w:rPr>
        <w:i/>
      </w:rPr>
    </w:pPr>
    <w:r w:rsidRPr="009B309F">
      <w:rPr>
        <w:i/>
      </w:rPr>
      <w:t>The Pauline Journal of Social Science</w:t>
    </w:r>
    <w:r w:rsidRPr="009B309F">
      <w:rPr>
        <w:i/>
      </w:rPr>
      <w:ptab w:relativeTo="margin" w:alignment="right" w:leader="none"/>
    </w:r>
    <w:r w:rsidRPr="009B309F">
      <w:rPr>
        <w:i/>
      </w:rPr>
      <w:t>Vol. 1, No.1 (Jan.,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E0" w:rsidRPr="009B309F" w:rsidRDefault="009B309F" w:rsidP="009B309F">
    <w:pPr>
      <w:pStyle w:val="Header"/>
      <w:rPr>
        <w:rFonts w:asciiTheme="minorHAnsi" w:hAnsiTheme="minorHAnsi" w:cs="Times New Roman"/>
        <w:i/>
      </w:rPr>
    </w:pPr>
    <w:r w:rsidRPr="009B309F">
      <w:rPr>
        <w:rFonts w:asciiTheme="minorHAnsi" w:hAnsiTheme="minorHAnsi" w:cs="Times New Roman"/>
        <w:i/>
      </w:rPr>
      <w:t>The Pauline Journal of Social Science</w:t>
    </w:r>
    <w:r w:rsidRPr="009B309F">
      <w:rPr>
        <w:rFonts w:asciiTheme="minorHAnsi" w:hAnsiTheme="minorHAnsi" w:cs="Times New Roman"/>
        <w:i/>
      </w:rPr>
      <w:ptab w:relativeTo="margin" w:alignment="right" w:leader="none"/>
    </w:r>
    <w:r w:rsidRPr="009B309F">
      <w:rPr>
        <w:rFonts w:asciiTheme="minorHAnsi" w:hAnsiTheme="minorHAnsi" w:cs="Times New Roman"/>
        <w:i/>
      </w:rPr>
      <w:t>Vol. 1, No.1 (Jan.,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E29"/>
    <w:multiLevelType w:val="multilevel"/>
    <w:tmpl w:val="68B8CD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C94527"/>
    <w:multiLevelType w:val="hybridMultilevel"/>
    <w:tmpl w:val="0D26B8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297748"/>
    <w:multiLevelType w:val="hybridMultilevel"/>
    <w:tmpl w:val="764E07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E62387"/>
    <w:multiLevelType w:val="hybridMultilevel"/>
    <w:tmpl w:val="5B100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7749C"/>
    <w:multiLevelType w:val="hybridMultilevel"/>
    <w:tmpl w:val="BA72328C"/>
    <w:lvl w:ilvl="0" w:tplc="B1A6AABA">
      <w:start w:val="1"/>
      <w:numFmt w:val="bullet"/>
      <w:lvlText w:val="•"/>
      <w:lvlJc w:val="left"/>
      <w:pPr>
        <w:tabs>
          <w:tab w:val="num" w:pos="720"/>
        </w:tabs>
        <w:ind w:left="720" w:hanging="360"/>
      </w:pPr>
      <w:rPr>
        <w:rFonts w:ascii="Arial" w:hAnsi="Arial" w:hint="default"/>
      </w:rPr>
    </w:lvl>
    <w:lvl w:ilvl="1" w:tplc="23921E40" w:tentative="1">
      <w:start w:val="1"/>
      <w:numFmt w:val="bullet"/>
      <w:lvlText w:val="•"/>
      <w:lvlJc w:val="left"/>
      <w:pPr>
        <w:tabs>
          <w:tab w:val="num" w:pos="1440"/>
        </w:tabs>
        <w:ind w:left="1440" w:hanging="360"/>
      </w:pPr>
      <w:rPr>
        <w:rFonts w:ascii="Arial" w:hAnsi="Arial" w:hint="default"/>
      </w:rPr>
    </w:lvl>
    <w:lvl w:ilvl="2" w:tplc="BE2E94E6">
      <w:start w:val="910"/>
      <w:numFmt w:val="bullet"/>
      <w:lvlText w:val="•"/>
      <w:lvlJc w:val="left"/>
      <w:pPr>
        <w:tabs>
          <w:tab w:val="num" w:pos="2160"/>
        </w:tabs>
        <w:ind w:left="2160" w:hanging="360"/>
      </w:pPr>
      <w:rPr>
        <w:rFonts w:ascii="Arial" w:hAnsi="Arial" w:hint="default"/>
      </w:rPr>
    </w:lvl>
    <w:lvl w:ilvl="3" w:tplc="B6763C8E" w:tentative="1">
      <w:start w:val="1"/>
      <w:numFmt w:val="bullet"/>
      <w:lvlText w:val="•"/>
      <w:lvlJc w:val="left"/>
      <w:pPr>
        <w:tabs>
          <w:tab w:val="num" w:pos="2880"/>
        </w:tabs>
        <w:ind w:left="2880" w:hanging="360"/>
      </w:pPr>
      <w:rPr>
        <w:rFonts w:ascii="Arial" w:hAnsi="Arial" w:hint="default"/>
      </w:rPr>
    </w:lvl>
    <w:lvl w:ilvl="4" w:tplc="64AA3922" w:tentative="1">
      <w:start w:val="1"/>
      <w:numFmt w:val="bullet"/>
      <w:lvlText w:val="•"/>
      <w:lvlJc w:val="left"/>
      <w:pPr>
        <w:tabs>
          <w:tab w:val="num" w:pos="3600"/>
        </w:tabs>
        <w:ind w:left="3600" w:hanging="360"/>
      </w:pPr>
      <w:rPr>
        <w:rFonts w:ascii="Arial" w:hAnsi="Arial" w:hint="default"/>
      </w:rPr>
    </w:lvl>
    <w:lvl w:ilvl="5" w:tplc="5DCA7F72" w:tentative="1">
      <w:start w:val="1"/>
      <w:numFmt w:val="bullet"/>
      <w:lvlText w:val="•"/>
      <w:lvlJc w:val="left"/>
      <w:pPr>
        <w:tabs>
          <w:tab w:val="num" w:pos="4320"/>
        </w:tabs>
        <w:ind w:left="4320" w:hanging="360"/>
      </w:pPr>
      <w:rPr>
        <w:rFonts w:ascii="Arial" w:hAnsi="Arial" w:hint="default"/>
      </w:rPr>
    </w:lvl>
    <w:lvl w:ilvl="6" w:tplc="B9824D10" w:tentative="1">
      <w:start w:val="1"/>
      <w:numFmt w:val="bullet"/>
      <w:lvlText w:val="•"/>
      <w:lvlJc w:val="left"/>
      <w:pPr>
        <w:tabs>
          <w:tab w:val="num" w:pos="5040"/>
        </w:tabs>
        <w:ind w:left="5040" w:hanging="360"/>
      </w:pPr>
      <w:rPr>
        <w:rFonts w:ascii="Arial" w:hAnsi="Arial" w:hint="default"/>
      </w:rPr>
    </w:lvl>
    <w:lvl w:ilvl="7" w:tplc="C2C45B7A" w:tentative="1">
      <w:start w:val="1"/>
      <w:numFmt w:val="bullet"/>
      <w:lvlText w:val="•"/>
      <w:lvlJc w:val="left"/>
      <w:pPr>
        <w:tabs>
          <w:tab w:val="num" w:pos="5760"/>
        </w:tabs>
        <w:ind w:left="5760" w:hanging="360"/>
      </w:pPr>
      <w:rPr>
        <w:rFonts w:ascii="Arial" w:hAnsi="Arial" w:hint="default"/>
      </w:rPr>
    </w:lvl>
    <w:lvl w:ilvl="8" w:tplc="D30E7052" w:tentative="1">
      <w:start w:val="1"/>
      <w:numFmt w:val="bullet"/>
      <w:lvlText w:val="•"/>
      <w:lvlJc w:val="left"/>
      <w:pPr>
        <w:tabs>
          <w:tab w:val="num" w:pos="6480"/>
        </w:tabs>
        <w:ind w:left="6480" w:hanging="360"/>
      </w:pPr>
      <w:rPr>
        <w:rFonts w:ascii="Arial" w:hAnsi="Arial" w:hint="default"/>
      </w:rPr>
    </w:lvl>
  </w:abstractNum>
  <w:abstractNum w:abstractNumId="5">
    <w:nsid w:val="298D3B92"/>
    <w:multiLevelType w:val="hybridMultilevel"/>
    <w:tmpl w:val="8F52B9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50A035A"/>
    <w:multiLevelType w:val="hybridMultilevel"/>
    <w:tmpl w:val="16422D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4B4BA7"/>
    <w:multiLevelType w:val="multilevel"/>
    <w:tmpl w:val="F4D4E88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8E5705"/>
    <w:multiLevelType w:val="hybridMultilevel"/>
    <w:tmpl w:val="CE4A9636"/>
    <w:lvl w:ilvl="0" w:tplc="44B68B36">
      <w:start w:val="1"/>
      <w:numFmt w:val="bullet"/>
      <w:lvlText w:val="•"/>
      <w:lvlJc w:val="left"/>
      <w:pPr>
        <w:tabs>
          <w:tab w:val="num" w:pos="720"/>
        </w:tabs>
        <w:ind w:left="720" w:hanging="360"/>
      </w:pPr>
      <w:rPr>
        <w:rFonts w:ascii="Arial" w:hAnsi="Arial" w:hint="default"/>
      </w:rPr>
    </w:lvl>
    <w:lvl w:ilvl="1" w:tplc="028876B4" w:tentative="1">
      <w:start w:val="1"/>
      <w:numFmt w:val="bullet"/>
      <w:lvlText w:val="•"/>
      <w:lvlJc w:val="left"/>
      <w:pPr>
        <w:tabs>
          <w:tab w:val="num" w:pos="1440"/>
        </w:tabs>
        <w:ind w:left="1440" w:hanging="360"/>
      </w:pPr>
      <w:rPr>
        <w:rFonts w:ascii="Arial" w:hAnsi="Arial" w:hint="default"/>
      </w:rPr>
    </w:lvl>
    <w:lvl w:ilvl="2" w:tplc="337EDBCE" w:tentative="1">
      <w:start w:val="1"/>
      <w:numFmt w:val="bullet"/>
      <w:lvlText w:val="•"/>
      <w:lvlJc w:val="left"/>
      <w:pPr>
        <w:tabs>
          <w:tab w:val="num" w:pos="2160"/>
        </w:tabs>
        <w:ind w:left="2160" w:hanging="360"/>
      </w:pPr>
      <w:rPr>
        <w:rFonts w:ascii="Arial" w:hAnsi="Arial" w:hint="default"/>
      </w:rPr>
    </w:lvl>
    <w:lvl w:ilvl="3" w:tplc="FDBE1904" w:tentative="1">
      <w:start w:val="1"/>
      <w:numFmt w:val="bullet"/>
      <w:lvlText w:val="•"/>
      <w:lvlJc w:val="left"/>
      <w:pPr>
        <w:tabs>
          <w:tab w:val="num" w:pos="2880"/>
        </w:tabs>
        <w:ind w:left="2880" w:hanging="360"/>
      </w:pPr>
      <w:rPr>
        <w:rFonts w:ascii="Arial" w:hAnsi="Arial" w:hint="default"/>
      </w:rPr>
    </w:lvl>
    <w:lvl w:ilvl="4" w:tplc="163A20A0" w:tentative="1">
      <w:start w:val="1"/>
      <w:numFmt w:val="bullet"/>
      <w:lvlText w:val="•"/>
      <w:lvlJc w:val="left"/>
      <w:pPr>
        <w:tabs>
          <w:tab w:val="num" w:pos="3600"/>
        </w:tabs>
        <w:ind w:left="3600" w:hanging="360"/>
      </w:pPr>
      <w:rPr>
        <w:rFonts w:ascii="Arial" w:hAnsi="Arial" w:hint="default"/>
      </w:rPr>
    </w:lvl>
    <w:lvl w:ilvl="5" w:tplc="01E04E68" w:tentative="1">
      <w:start w:val="1"/>
      <w:numFmt w:val="bullet"/>
      <w:lvlText w:val="•"/>
      <w:lvlJc w:val="left"/>
      <w:pPr>
        <w:tabs>
          <w:tab w:val="num" w:pos="4320"/>
        </w:tabs>
        <w:ind w:left="4320" w:hanging="360"/>
      </w:pPr>
      <w:rPr>
        <w:rFonts w:ascii="Arial" w:hAnsi="Arial" w:hint="default"/>
      </w:rPr>
    </w:lvl>
    <w:lvl w:ilvl="6" w:tplc="6C3E14B6" w:tentative="1">
      <w:start w:val="1"/>
      <w:numFmt w:val="bullet"/>
      <w:lvlText w:val="•"/>
      <w:lvlJc w:val="left"/>
      <w:pPr>
        <w:tabs>
          <w:tab w:val="num" w:pos="5040"/>
        </w:tabs>
        <w:ind w:left="5040" w:hanging="360"/>
      </w:pPr>
      <w:rPr>
        <w:rFonts w:ascii="Arial" w:hAnsi="Arial" w:hint="default"/>
      </w:rPr>
    </w:lvl>
    <w:lvl w:ilvl="7" w:tplc="DF1E0552" w:tentative="1">
      <w:start w:val="1"/>
      <w:numFmt w:val="bullet"/>
      <w:lvlText w:val="•"/>
      <w:lvlJc w:val="left"/>
      <w:pPr>
        <w:tabs>
          <w:tab w:val="num" w:pos="5760"/>
        </w:tabs>
        <w:ind w:left="5760" w:hanging="360"/>
      </w:pPr>
      <w:rPr>
        <w:rFonts w:ascii="Arial" w:hAnsi="Arial" w:hint="default"/>
      </w:rPr>
    </w:lvl>
    <w:lvl w:ilvl="8" w:tplc="859674D2" w:tentative="1">
      <w:start w:val="1"/>
      <w:numFmt w:val="bullet"/>
      <w:lvlText w:val="•"/>
      <w:lvlJc w:val="left"/>
      <w:pPr>
        <w:tabs>
          <w:tab w:val="num" w:pos="6480"/>
        </w:tabs>
        <w:ind w:left="6480" w:hanging="360"/>
      </w:pPr>
      <w:rPr>
        <w:rFonts w:ascii="Arial" w:hAnsi="Arial" w:hint="default"/>
      </w:rPr>
    </w:lvl>
  </w:abstractNum>
  <w:abstractNum w:abstractNumId="9">
    <w:nsid w:val="512C4483"/>
    <w:multiLevelType w:val="hybridMultilevel"/>
    <w:tmpl w:val="42D8BA96"/>
    <w:lvl w:ilvl="0" w:tplc="B70E15C8">
      <w:start w:val="1"/>
      <w:numFmt w:val="bullet"/>
      <w:lvlText w:val="•"/>
      <w:lvlJc w:val="left"/>
      <w:pPr>
        <w:tabs>
          <w:tab w:val="num" w:pos="720"/>
        </w:tabs>
        <w:ind w:left="720" w:hanging="360"/>
      </w:pPr>
      <w:rPr>
        <w:rFonts w:ascii="Arial" w:hAnsi="Arial" w:hint="default"/>
      </w:rPr>
    </w:lvl>
    <w:lvl w:ilvl="1" w:tplc="EC88B23C" w:tentative="1">
      <w:start w:val="1"/>
      <w:numFmt w:val="bullet"/>
      <w:lvlText w:val="•"/>
      <w:lvlJc w:val="left"/>
      <w:pPr>
        <w:tabs>
          <w:tab w:val="num" w:pos="1440"/>
        </w:tabs>
        <w:ind w:left="1440" w:hanging="360"/>
      </w:pPr>
      <w:rPr>
        <w:rFonts w:ascii="Arial" w:hAnsi="Arial" w:hint="default"/>
      </w:rPr>
    </w:lvl>
    <w:lvl w:ilvl="2" w:tplc="3F087134" w:tentative="1">
      <w:start w:val="1"/>
      <w:numFmt w:val="bullet"/>
      <w:lvlText w:val="•"/>
      <w:lvlJc w:val="left"/>
      <w:pPr>
        <w:tabs>
          <w:tab w:val="num" w:pos="2160"/>
        </w:tabs>
        <w:ind w:left="2160" w:hanging="360"/>
      </w:pPr>
      <w:rPr>
        <w:rFonts w:ascii="Arial" w:hAnsi="Arial" w:hint="default"/>
      </w:rPr>
    </w:lvl>
    <w:lvl w:ilvl="3" w:tplc="45B6C856" w:tentative="1">
      <w:start w:val="1"/>
      <w:numFmt w:val="bullet"/>
      <w:lvlText w:val="•"/>
      <w:lvlJc w:val="left"/>
      <w:pPr>
        <w:tabs>
          <w:tab w:val="num" w:pos="2880"/>
        </w:tabs>
        <w:ind w:left="2880" w:hanging="360"/>
      </w:pPr>
      <w:rPr>
        <w:rFonts w:ascii="Arial" w:hAnsi="Arial" w:hint="default"/>
      </w:rPr>
    </w:lvl>
    <w:lvl w:ilvl="4" w:tplc="333626C8" w:tentative="1">
      <w:start w:val="1"/>
      <w:numFmt w:val="bullet"/>
      <w:lvlText w:val="•"/>
      <w:lvlJc w:val="left"/>
      <w:pPr>
        <w:tabs>
          <w:tab w:val="num" w:pos="3600"/>
        </w:tabs>
        <w:ind w:left="3600" w:hanging="360"/>
      </w:pPr>
      <w:rPr>
        <w:rFonts w:ascii="Arial" w:hAnsi="Arial" w:hint="default"/>
      </w:rPr>
    </w:lvl>
    <w:lvl w:ilvl="5" w:tplc="53D47C34" w:tentative="1">
      <w:start w:val="1"/>
      <w:numFmt w:val="bullet"/>
      <w:lvlText w:val="•"/>
      <w:lvlJc w:val="left"/>
      <w:pPr>
        <w:tabs>
          <w:tab w:val="num" w:pos="4320"/>
        </w:tabs>
        <w:ind w:left="4320" w:hanging="360"/>
      </w:pPr>
      <w:rPr>
        <w:rFonts w:ascii="Arial" w:hAnsi="Arial" w:hint="default"/>
      </w:rPr>
    </w:lvl>
    <w:lvl w:ilvl="6" w:tplc="4F9ED2E0" w:tentative="1">
      <w:start w:val="1"/>
      <w:numFmt w:val="bullet"/>
      <w:lvlText w:val="•"/>
      <w:lvlJc w:val="left"/>
      <w:pPr>
        <w:tabs>
          <w:tab w:val="num" w:pos="5040"/>
        </w:tabs>
        <w:ind w:left="5040" w:hanging="360"/>
      </w:pPr>
      <w:rPr>
        <w:rFonts w:ascii="Arial" w:hAnsi="Arial" w:hint="default"/>
      </w:rPr>
    </w:lvl>
    <w:lvl w:ilvl="7" w:tplc="6ECE4FB8" w:tentative="1">
      <w:start w:val="1"/>
      <w:numFmt w:val="bullet"/>
      <w:lvlText w:val="•"/>
      <w:lvlJc w:val="left"/>
      <w:pPr>
        <w:tabs>
          <w:tab w:val="num" w:pos="5760"/>
        </w:tabs>
        <w:ind w:left="5760" w:hanging="360"/>
      </w:pPr>
      <w:rPr>
        <w:rFonts w:ascii="Arial" w:hAnsi="Arial" w:hint="default"/>
      </w:rPr>
    </w:lvl>
    <w:lvl w:ilvl="8" w:tplc="94EA58D8" w:tentative="1">
      <w:start w:val="1"/>
      <w:numFmt w:val="bullet"/>
      <w:lvlText w:val="•"/>
      <w:lvlJc w:val="left"/>
      <w:pPr>
        <w:tabs>
          <w:tab w:val="num" w:pos="6480"/>
        </w:tabs>
        <w:ind w:left="6480" w:hanging="360"/>
      </w:pPr>
      <w:rPr>
        <w:rFonts w:ascii="Arial" w:hAnsi="Arial" w:hint="default"/>
      </w:rPr>
    </w:lvl>
  </w:abstractNum>
  <w:abstractNum w:abstractNumId="10">
    <w:nsid w:val="52AB4208"/>
    <w:multiLevelType w:val="hybridMultilevel"/>
    <w:tmpl w:val="9064EC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D100A00"/>
    <w:multiLevelType w:val="hybridMultilevel"/>
    <w:tmpl w:val="9576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95E01"/>
    <w:multiLevelType w:val="hybridMultilevel"/>
    <w:tmpl w:val="4FD86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7653D6B"/>
    <w:multiLevelType w:val="hybridMultilevel"/>
    <w:tmpl w:val="9F96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4"/>
  </w:num>
  <w:num w:numId="5">
    <w:abstractNumId w:val="0"/>
  </w:num>
  <w:num w:numId="6">
    <w:abstractNumId w:val="9"/>
  </w:num>
  <w:num w:numId="7">
    <w:abstractNumId w:val="3"/>
  </w:num>
  <w:num w:numId="8">
    <w:abstractNumId w:val="2"/>
  </w:num>
  <w:num w:numId="9">
    <w:abstractNumId w:val="5"/>
  </w:num>
  <w:num w:numId="10">
    <w:abstractNumId w:val="10"/>
  </w:num>
  <w:num w:numId="11">
    <w:abstractNumId w:val="6"/>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405C"/>
    <w:rsid w:val="00012C5A"/>
    <w:rsid w:val="00027409"/>
    <w:rsid w:val="00045AB0"/>
    <w:rsid w:val="00074FCA"/>
    <w:rsid w:val="00084A92"/>
    <w:rsid w:val="0009198F"/>
    <w:rsid w:val="00094AE1"/>
    <w:rsid w:val="000C6812"/>
    <w:rsid w:val="000D10E3"/>
    <w:rsid w:val="000E4885"/>
    <w:rsid w:val="000F3E16"/>
    <w:rsid w:val="00127505"/>
    <w:rsid w:val="00134087"/>
    <w:rsid w:val="00147F35"/>
    <w:rsid w:val="001653F2"/>
    <w:rsid w:val="0016766B"/>
    <w:rsid w:val="001A5151"/>
    <w:rsid w:val="001E621D"/>
    <w:rsid w:val="00223E8B"/>
    <w:rsid w:val="0023527E"/>
    <w:rsid w:val="002550F6"/>
    <w:rsid w:val="00273A53"/>
    <w:rsid w:val="0027695F"/>
    <w:rsid w:val="002911D2"/>
    <w:rsid w:val="002B5AB5"/>
    <w:rsid w:val="002C5822"/>
    <w:rsid w:val="002D500A"/>
    <w:rsid w:val="003040F8"/>
    <w:rsid w:val="00330221"/>
    <w:rsid w:val="00332378"/>
    <w:rsid w:val="00334377"/>
    <w:rsid w:val="0037413B"/>
    <w:rsid w:val="003D7D8C"/>
    <w:rsid w:val="003E1FE0"/>
    <w:rsid w:val="003F4C1F"/>
    <w:rsid w:val="00401B12"/>
    <w:rsid w:val="00405AEA"/>
    <w:rsid w:val="00431827"/>
    <w:rsid w:val="0044636F"/>
    <w:rsid w:val="004511AB"/>
    <w:rsid w:val="00462194"/>
    <w:rsid w:val="00470FC8"/>
    <w:rsid w:val="004821E6"/>
    <w:rsid w:val="00482DDB"/>
    <w:rsid w:val="004A7140"/>
    <w:rsid w:val="004C40C4"/>
    <w:rsid w:val="004C7F44"/>
    <w:rsid w:val="004E1EA3"/>
    <w:rsid w:val="004E288C"/>
    <w:rsid w:val="004E73E8"/>
    <w:rsid w:val="00500964"/>
    <w:rsid w:val="00532D85"/>
    <w:rsid w:val="00533A1B"/>
    <w:rsid w:val="00553AD3"/>
    <w:rsid w:val="005A06C5"/>
    <w:rsid w:val="005A1704"/>
    <w:rsid w:val="005B1567"/>
    <w:rsid w:val="005C4E67"/>
    <w:rsid w:val="005D0CBF"/>
    <w:rsid w:val="005D4AC5"/>
    <w:rsid w:val="005F73BD"/>
    <w:rsid w:val="00601135"/>
    <w:rsid w:val="00603486"/>
    <w:rsid w:val="00725CEB"/>
    <w:rsid w:val="00744ECF"/>
    <w:rsid w:val="00746718"/>
    <w:rsid w:val="00785F04"/>
    <w:rsid w:val="007934F8"/>
    <w:rsid w:val="00795A9A"/>
    <w:rsid w:val="007B0BF2"/>
    <w:rsid w:val="0081417D"/>
    <w:rsid w:val="00817421"/>
    <w:rsid w:val="00823E0C"/>
    <w:rsid w:val="00863969"/>
    <w:rsid w:val="00867A12"/>
    <w:rsid w:val="0089232C"/>
    <w:rsid w:val="008B6BA8"/>
    <w:rsid w:val="008C04CA"/>
    <w:rsid w:val="008D1670"/>
    <w:rsid w:val="00914B09"/>
    <w:rsid w:val="009A4EA0"/>
    <w:rsid w:val="009B309F"/>
    <w:rsid w:val="00A13FF0"/>
    <w:rsid w:val="00A343F4"/>
    <w:rsid w:val="00A553CC"/>
    <w:rsid w:val="00A61480"/>
    <w:rsid w:val="00A75E0C"/>
    <w:rsid w:val="00AF31C3"/>
    <w:rsid w:val="00B0528A"/>
    <w:rsid w:val="00B06BB8"/>
    <w:rsid w:val="00B27C84"/>
    <w:rsid w:val="00B44599"/>
    <w:rsid w:val="00B5216A"/>
    <w:rsid w:val="00B556FF"/>
    <w:rsid w:val="00B86489"/>
    <w:rsid w:val="00BA1774"/>
    <w:rsid w:val="00BA48D3"/>
    <w:rsid w:val="00BD6DB1"/>
    <w:rsid w:val="00BF2BA6"/>
    <w:rsid w:val="00C059D7"/>
    <w:rsid w:val="00C13ABA"/>
    <w:rsid w:val="00C32DF6"/>
    <w:rsid w:val="00C6615F"/>
    <w:rsid w:val="00C76CE6"/>
    <w:rsid w:val="00C94881"/>
    <w:rsid w:val="00CB3AEB"/>
    <w:rsid w:val="00CE5C22"/>
    <w:rsid w:val="00D31E63"/>
    <w:rsid w:val="00D445BF"/>
    <w:rsid w:val="00D52673"/>
    <w:rsid w:val="00D625DF"/>
    <w:rsid w:val="00D90651"/>
    <w:rsid w:val="00DB2CF0"/>
    <w:rsid w:val="00DB51BA"/>
    <w:rsid w:val="00DE0FE3"/>
    <w:rsid w:val="00E11E1E"/>
    <w:rsid w:val="00E13899"/>
    <w:rsid w:val="00E54E13"/>
    <w:rsid w:val="00E645FA"/>
    <w:rsid w:val="00EB5A70"/>
    <w:rsid w:val="00ED313E"/>
    <w:rsid w:val="00ED386D"/>
    <w:rsid w:val="00ED6252"/>
    <w:rsid w:val="00EF58BD"/>
    <w:rsid w:val="00F039EC"/>
    <w:rsid w:val="00F03E0B"/>
    <w:rsid w:val="00F11132"/>
    <w:rsid w:val="00F11D68"/>
    <w:rsid w:val="00F12DCF"/>
    <w:rsid w:val="00F41570"/>
    <w:rsid w:val="00F57815"/>
    <w:rsid w:val="00F8405C"/>
    <w:rsid w:val="00F934EA"/>
    <w:rsid w:val="00FC24B6"/>
    <w:rsid w:val="00FD1AA0"/>
    <w:rsid w:val="00FD4244"/>
    <w:rsid w:val="00FE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5C"/>
    <w:pPr>
      <w:widowControl w:val="0"/>
      <w:overflowPunct w:val="0"/>
      <w:adjustRightInd w:val="0"/>
      <w:spacing w:after="240" w:line="275" w:lineRule="auto"/>
    </w:pPr>
    <w:rPr>
      <w:rFonts w:ascii="Calibri" w:eastAsia="Times New Roman"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AB"/>
    <w:pPr>
      <w:widowControl/>
      <w:overflowPunct/>
      <w:adjustRightInd/>
      <w:spacing w:after="200" w:line="276" w:lineRule="auto"/>
      <w:ind w:left="720"/>
      <w:contextualSpacing/>
    </w:pPr>
    <w:rPr>
      <w:rFonts w:eastAsia="Calibri" w:cs="Times New Roman"/>
      <w:kern w:val="0"/>
      <w:lang w:val="en-US" w:eastAsia="en-US"/>
    </w:rPr>
  </w:style>
  <w:style w:type="paragraph" w:styleId="Caption">
    <w:name w:val="caption"/>
    <w:basedOn w:val="Normal"/>
    <w:next w:val="Normal"/>
    <w:uiPriority w:val="35"/>
    <w:unhideWhenUsed/>
    <w:qFormat/>
    <w:rsid w:val="004511AB"/>
    <w:pPr>
      <w:widowControl/>
      <w:overflowPunct/>
      <w:adjustRightInd/>
      <w:spacing w:after="200" w:line="240" w:lineRule="auto"/>
    </w:pPr>
    <w:rPr>
      <w:rFonts w:cs="Times New Roman"/>
      <w:b/>
      <w:bCs/>
      <w:color w:val="4F81BD"/>
      <w:kern w:val="0"/>
      <w:sz w:val="18"/>
      <w:szCs w:val="18"/>
      <w:lang w:val="en-US" w:eastAsia="en-US"/>
    </w:rPr>
  </w:style>
  <w:style w:type="paragraph" w:styleId="NormalWeb">
    <w:name w:val="Normal (Web)"/>
    <w:basedOn w:val="Normal"/>
    <w:uiPriority w:val="99"/>
    <w:unhideWhenUsed/>
    <w:rsid w:val="00223E8B"/>
    <w:pPr>
      <w:widowControl/>
      <w:overflowPunct/>
      <w:adjustRightInd/>
      <w:spacing w:before="100" w:beforeAutospacing="1" w:after="100" w:afterAutospacing="1" w:line="240" w:lineRule="auto"/>
    </w:pPr>
    <w:rPr>
      <w:rFonts w:ascii="Times New Roman" w:hAnsi="Times New Roman" w:cs="Times New Roman"/>
      <w:color w:val="000000"/>
      <w:kern w:val="0"/>
      <w:lang w:val="en-US" w:eastAsia="en-US"/>
    </w:rPr>
  </w:style>
  <w:style w:type="character" w:styleId="Hyperlink">
    <w:name w:val="Hyperlink"/>
    <w:basedOn w:val="DefaultParagraphFont"/>
    <w:uiPriority w:val="99"/>
    <w:unhideWhenUsed/>
    <w:rsid w:val="00223E8B"/>
    <w:rPr>
      <w:color w:val="0000FF"/>
      <w:u w:val="single"/>
    </w:rPr>
  </w:style>
  <w:style w:type="paragraph" w:styleId="Header">
    <w:name w:val="header"/>
    <w:basedOn w:val="Normal"/>
    <w:link w:val="HeaderChar"/>
    <w:uiPriority w:val="99"/>
    <w:unhideWhenUsed/>
    <w:rsid w:val="0047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C8"/>
    <w:rPr>
      <w:rFonts w:ascii="Calibri" w:eastAsia="Times New Roman" w:hAnsi="Calibri" w:cs="Calibri"/>
      <w:kern w:val="28"/>
      <w:lang w:val="en-IN" w:eastAsia="en-IN"/>
    </w:rPr>
  </w:style>
  <w:style w:type="paragraph" w:styleId="Footer">
    <w:name w:val="footer"/>
    <w:basedOn w:val="Normal"/>
    <w:link w:val="FooterChar"/>
    <w:uiPriority w:val="99"/>
    <w:unhideWhenUsed/>
    <w:rsid w:val="0047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C8"/>
    <w:rPr>
      <w:rFonts w:ascii="Calibri" w:eastAsia="Times New Roman" w:hAnsi="Calibri" w:cs="Calibri"/>
      <w:kern w:val="28"/>
      <w:lang w:val="en-IN" w:eastAsia="en-IN"/>
    </w:rPr>
  </w:style>
  <w:style w:type="paragraph" w:styleId="BalloonText">
    <w:name w:val="Balloon Text"/>
    <w:basedOn w:val="Normal"/>
    <w:link w:val="BalloonTextChar"/>
    <w:uiPriority w:val="99"/>
    <w:semiHidden/>
    <w:unhideWhenUsed/>
    <w:rsid w:val="0047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C8"/>
    <w:rPr>
      <w:rFonts w:ascii="Tahoma" w:eastAsia="Times New Roman" w:hAnsi="Tahoma" w:cs="Tahoma"/>
      <w:kern w:val="28"/>
      <w:sz w:val="16"/>
      <w:szCs w:val="16"/>
      <w:lang w:val="en-IN" w:eastAsia="en-IN"/>
    </w:rPr>
  </w:style>
  <w:style w:type="paragraph" w:styleId="NoSpacing">
    <w:name w:val="No Spacing"/>
    <w:uiPriority w:val="1"/>
    <w:qFormat/>
    <w:rsid w:val="00532D85"/>
    <w:pPr>
      <w:widowControl w:val="0"/>
      <w:overflowPunct w:val="0"/>
      <w:adjustRightInd w:val="0"/>
      <w:spacing w:after="0" w:line="240" w:lineRule="auto"/>
    </w:pPr>
    <w:rPr>
      <w:rFonts w:ascii="Calibri" w:eastAsia="Times New Roman" w:hAnsi="Calibri" w:cs="Calibri"/>
      <w:lang w:val="en-IN" w:eastAsia="en-IN"/>
    </w:rPr>
  </w:style>
  <w:style w:type="character" w:customStyle="1" w:styleId="apple-style-span">
    <w:name w:val="apple-style-span"/>
    <w:basedOn w:val="DefaultParagraphFont"/>
    <w:rsid w:val="00C66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846">
      <w:bodyDiv w:val="1"/>
      <w:marLeft w:val="0"/>
      <w:marRight w:val="0"/>
      <w:marTop w:val="0"/>
      <w:marBottom w:val="0"/>
      <w:divBdr>
        <w:top w:val="none" w:sz="0" w:space="0" w:color="auto"/>
        <w:left w:val="none" w:sz="0" w:space="0" w:color="auto"/>
        <w:bottom w:val="none" w:sz="0" w:space="0" w:color="auto"/>
        <w:right w:val="none" w:sz="0" w:space="0" w:color="auto"/>
      </w:divBdr>
    </w:div>
    <w:div w:id="122314251">
      <w:bodyDiv w:val="1"/>
      <w:marLeft w:val="0"/>
      <w:marRight w:val="0"/>
      <w:marTop w:val="0"/>
      <w:marBottom w:val="0"/>
      <w:divBdr>
        <w:top w:val="none" w:sz="0" w:space="0" w:color="auto"/>
        <w:left w:val="none" w:sz="0" w:space="0" w:color="auto"/>
        <w:bottom w:val="none" w:sz="0" w:space="0" w:color="auto"/>
        <w:right w:val="none" w:sz="0" w:space="0" w:color="auto"/>
      </w:divBdr>
    </w:div>
    <w:div w:id="130023867">
      <w:bodyDiv w:val="1"/>
      <w:marLeft w:val="0"/>
      <w:marRight w:val="0"/>
      <w:marTop w:val="0"/>
      <w:marBottom w:val="0"/>
      <w:divBdr>
        <w:top w:val="none" w:sz="0" w:space="0" w:color="auto"/>
        <w:left w:val="none" w:sz="0" w:space="0" w:color="auto"/>
        <w:bottom w:val="none" w:sz="0" w:space="0" w:color="auto"/>
        <w:right w:val="none" w:sz="0" w:space="0" w:color="auto"/>
      </w:divBdr>
    </w:div>
    <w:div w:id="205719405">
      <w:bodyDiv w:val="1"/>
      <w:marLeft w:val="0"/>
      <w:marRight w:val="0"/>
      <w:marTop w:val="0"/>
      <w:marBottom w:val="0"/>
      <w:divBdr>
        <w:top w:val="none" w:sz="0" w:space="0" w:color="auto"/>
        <w:left w:val="none" w:sz="0" w:space="0" w:color="auto"/>
        <w:bottom w:val="none" w:sz="0" w:space="0" w:color="auto"/>
        <w:right w:val="none" w:sz="0" w:space="0" w:color="auto"/>
      </w:divBdr>
    </w:div>
    <w:div w:id="470365003">
      <w:bodyDiv w:val="1"/>
      <w:marLeft w:val="0"/>
      <w:marRight w:val="0"/>
      <w:marTop w:val="0"/>
      <w:marBottom w:val="0"/>
      <w:divBdr>
        <w:top w:val="none" w:sz="0" w:space="0" w:color="auto"/>
        <w:left w:val="none" w:sz="0" w:space="0" w:color="auto"/>
        <w:bottom w:val="none" w:sz="0" w:space="0" w:color="auto"/>
        <w:right w:val="none" w:sz="0" w:space="0" w:color="auto"/>
      </w:divBdr>
    </w:div>
    <w:div w:id="535772940">
      <w:bodyDiv w:val="1"/>
      <w:marLeft w:val="0"/>
      <w:marRight w:val="0"/>
      <w:marTop w:val="0"/>
      <w:marBottom w:val="0"/>
      <w:divBdr>
        <w:top w:val="none" w:sz="0" w:space="0" w:color="auto"/>
        <w:left w:val="none" w:sz="0" w:space="0" w:color="auto"/>
        <w:bottom w:val="none" w:sz="0" w:space="0" w:color="auto"/>
        <w:right w:val="none" w:sz="0" w:space="0" w:color="auto"/>
      </w:divBdr>
    </w:div>
    <w:div w:id="731855468">
      <w:bodyDiv w:val="1"/>
      <w:marLeft w:val="0"/>
      <w:marRight w:val="0"/>
      <w:marTop w:val="0"/>
      <w:marBottom w:val="0"/>
      <w:divBdr>
        <w:top w:val="none" w:sz="0" w:space="0" w:color="auto"/>
        <w:left w:val="none" w:sz="0" w:space="0" w:color="auto"/>
        <w:bottom w:val="none" w:sz="0" w:space="0" w:color="auto"/>
        <w:right w:val="none" w:sz="0" w:space="0" w:color="auto"/>
      </w:divBdr>
    </w:div>
    <w:div w:id="784689815">
      <w:bodyDiv w:val="1"/>
      <w:marLeft w:val="0"/>
      <w:marRight w:val="0"/>
      <w:marTop w:val="0"/>
      <w:marBottom w:val="0"/>
      <w:divBdr>
        <w:top w:val="none" w:sz="0" w:space="0" w:color="auto"/>
        <w:left w:val="none" w:sz="0" w:space="0" w:color="auto"/>
        <w:bottom w:val="none" w:sz="0" w:space="0" w:color="auto"/>
        <w:right w:val="none" w:sz="0" w:space="0" w:color="auto"/>
      </w:divBdr>
    </w:div>
    <w:div w:id="831723751">
      <w:bodyDiv w:val="1"/>
      <w:marLeft w:val="0"/>
      <w:marRight w:val="0"/>
      <w:marTop w:val="0"/>
      <w:marBottom w:val="0"/>
      <w:divBdr>
        <w:top w:val="none" w:sz="0" w:space="0" w:color="auto"/>
        <w:left w:val="none" w:sz="0" w:space="0" w:color="auto"/>
        <w:bottom w:val="none" w:sz="0" w:space="0" w:color="auto"/>
        <w:right w:val="none" w:sz="0" w:space="0" w:color="auto"/>
      </w:divBdr>
    </w:div>
    <w:div w:id="869994304">
      <w:bodyDiv w:val="1"/>
      <w:marLeft w:val="0"/>
      <w:marRight w:val="0"/>
      <w:marTop w:val="0"/>
      <w:marBottom w:val="0"/>
      <w:divBdr>
        <w:top w:val="none" w:sz="0" w:space="0" w:color="auto"/>
        <w:left w:val="none" w:sz="0" w:space="0" w:color="auto"/>
        <w:bottom w:val="none" w:sz="0" w:space="0" w:color="auto"/>
        <w:right w:val="none" w:sz="0" w:space="0" w:color="auto"/>
      </w:divBdr>
    </w:div>
    <w:div w:id="986207663">
      <w:bodyDiv w:val="1"/>
      <w:marLeft w:val="0"/>
      <w:marRight w:val="0"/>
      <w:marTop w:val="0"/>
      <w:marBottom w:val="0"/>
      <w:divBdr>
        <w:top w:val="none" w:sz="0" w:space="0" w:color="auto"/>
        <w:left w:val="none" w:sz="0" w:space="0" w:color="auto"/>
        <w:bottom w:val="none" w:sz="0" w:space="0" w:color="auto"/>
        <w:right w:val="none" w:sz="0" w:space="0" w:color="auto"/>
      </w:divBdr>
    </w:div>
    <w:div w:id="1306817550">
      <w:bodyDiv w:val="1"/>
      <w:marLeft w:val="0"/>
      <w:marRight w:val="0"/>
      <w:marTop w:val="0"/>
      <w:marBottom w:val="0"/>
      <w:divBdr>
        <w:top w:val="none" w:sz="0" w:space="0" w:color="auto"/>
        <w:left w:val="none" w:sz="0" w:space="0" w:color="auto"/>
        <w:bottom w:val="none" w:sz="0" w:space="0" w:color="auto"/>
        <w:right w:val="none" w:sz="0" w:space="0" w:color="auto"/>
      </w:divBdr>
    </w:div>
    <w:div w:id="1673485362">
      <w:bodyDiv w:val="1"/>
      <w:marLeft w:val="0"/>
      <w:marRight w:val="0"/>
      <w:marTop w:val="0"/>
      <w:marBottom w:val="0"/>
      <w:divBdr>
        <w:top w:val="none" w:sz="0" w:space="0" w:color="auto"/>
        <w:left w:val="none" w:sz="0" w:space="0" w:color="auto"/>
        <w:bottom w:val="none" w:sz="0" w:space="0" w:color="auto"/>
        <w:right w:val="none" w:sz="0" w:space="0" w:color="auto"/>
      </w:divBdr>
    </w:div>
    <w:div w:id="1754664887">
      <w:bodyDiv w:val="1"/>
      <w:marLeft w:val="0"/>
      <w:marRight w:val="0"/>
      <w:marTop w:val="0"/>
      <w:marBottom w:val="0"/>
      <w:divBdr>
        <w:top w:val="none" w:sz="0" w:space="0" w:color="auto"/>
        <w:left w:val="none" w:sz="0" w:space="0" w:color="auto"/>
        <w:bottom w:val="none" w:sz="0" w:space="0" w:color="auto"/>
        <w:right w:val="none" w:sz="0" w:space="0" w:color="auto"/>
      </w:divBdr>
    </w:div>
    <w:div w:id="1846506979">
      <w:bodyDiv w:val="1"/>
      <w:marLeft w:val="0"/>
      <w:marRight w:val="0"/>
      <w:marTop w:val="0"/>
      <w:marBottom w:val="0"/>
      <w:divBdr>
        <w:top w:val="none" w:sz="0" w:space="0" w:color="auto"/>
        <w:left w:val="none" w:sz="0" w:space="0" w:color="auto"/>
        <w:bottom w:val="none" w:sz="0" w:space="0" w:color="auto"/>
        <w:right w:val="none" w:sz="0" w:space="0" w:color="auto"/>
      </w:divBdr>
    </w:div>
    <w:div w:id="1898778280">
      <w:bodyDiv w:val="1"/>
      <w:marLeft w:val="0"/>
      <w:marRight w:val="0"/>
      <w:marTop w:val="0"/>
      <w:marBottom w:val="0"/>
      <w:divBdr>
        <w:top w:val="none" w:sz="0" w:space="0" w:color="auto"/>
        <w:left w:val="none" w:sz="0" w:space="0" w:color="auto"/>
        <w:bottom w:val="none" w:sz="0" w:space="0" w:color="auto"/>
        <w:right w:val="none" w:sz="0" w:space="0" w:color="auto"/>
      </w:divBdr>
    </w:div>
    <w:div w:id="1964190922">
      <w:bodyDiv w:val="1"/>
      <w:marLeft w:val="0"/>
      <w:marRight w:val="0"/>
      <w:marTop w:val="0"/>
      <w:marBottom w:val="0"/>
      <w:divBdr>
        <w:top w:val="none" w:sz="0" w:space="0" w:color="auto"/>
        <w:left w:val="none" w:sz="0" w:space="0" w:color="auto"/>
        <w:bottom w:val="none" w:sz="0" w:space="0" w:color="auto"/>
        <w:right w:val="none" w:sz="0" w:space="0" w:color="auto"/>
      </w:divBdr>
    </w:div>
    <w:div w:id="21322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v>Rural</c:v>
          </c:tx>
          <c:dLbls>
            <c:txPr>
              <a:bodyPr/>
              <a:lstStyle/>
              <a:p>
                <a:pPr>
                  <a:defRPr lang="en-IN"/>
                </a:pPr>
                <a:endParaRPr lang="en-US"/>
              </a:p>
            </c:txPr>
            <c:showLegendKey val="0"/>
            <c:showVal val="1"/>
            <c:showCatName val="0"/>
            <c:showSerName val="0"/>
            <c:showPercent val="0"/>
            <c:showBubbleSize val="0"/>
            <c:showLeaderLines val="1"/>
          </c:dLbls>
          <c:cat>
            <c:strRef>
              <c:f>Sheet1!$M$10:$M$11</c:f>
              <c:strCache>
                <c:ptCount val="2"/>
                <c:pt idx="0">
                  <c:v>Food Item</c:v>
                </c:pt>
                <c:pt idx="1">
                  <c:v>Non-food Item</c:v>
                </c:pt>
              </c:strCache>
            </c:strRef>
          </c:cat>
          <c:val>
            <c:numRef>
              <c:f>Sheet1!$N$10:$N$11</c:f>
              <c:numCache>
                <c:formatCode>General</c:formatCode>
                <c:ptCount val="2"/>
                <c:pt idx="0">
                  <c:v>46.95</c:v>
                </c:pt>
                <c:pt idx="1">
                  <c:v>53.05</c:v>
                </c:pt>
              </c:numCache>
            </c:numRef>
          </c:val>
        </c:ser>
        <c:ser>
          <c:idx val="1"/>
          <c:order val="1"/>
          <c:val>
            <c:numLit>
              <c:formatCode>General</c:formatCode>
              <c:ptCount val="1"/>
              <c:pt idx="0">
                <c:v>1</c:v>
              </c:pt>
            </c:numLit>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v>Urban</c:v>
          </c:tx>
          <c:dLbls>
            <c:txPr>
              <a:bodyPr/>
              <a:lstStyle/>
              <a:p>
                <a:pPr>
                  <a:defRPr lang="en-IN"/>
                </a:pPr>
                <a:endParaRPr lang="en-US"/>
              </a:p>
            </c:txPr>
            <c:showLegendKey val="0"/>
            <c:showVal val="1"/>
            <c:showCatName val="0"/>
            <c:showSerName val="0"/>
            <c:showPercent val="0"/>
            <c:showBubbleSize val="0"/>
            <c:showLeaderLines val="1"/>
          </c:dLbls>
          <c:cat>
            <c:strRef>
              <c:f>Sheet1!$M$14:$M$15</c:f>
              <c:strCache>
                <c:ptCount val="2"/>
                <c:pt idx="0">
                  <c:v>Food Item</c:v>
                </c:pt>
                <c:pt idx="1">
                  <c:v>Non-food Item</c:v>
                </c:pt>
              </c:strCache>
            </c:strRef>
          </c:cat>
          <c:val>
            <c:numRef>
              <c:f>Sheet1!$N$14:$N$15</c:f>
              <c:numCache>
                <c:formatCode>General</c:formatCode>
                <c:ptCount val="2"/>
                <c:pt idx="0">
                  <c:v>40.43</c:v>
                </c:pt>
                <c:pt idx="1">
                  <c:v>59.57</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Pauline Journal of Studies and Research</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8</cp:revision>
  <cp:lastPrinted>2015-06-07T18:39:00Z</cp:lastPrinted>
  <dcterms:created xsi:type="dcterms:W3CDTF">2015-04-03T07:24:00Z</dcterms:created>
  <dcterms:modified xsi:type="dcterms:W3CDTF">2015-06-07T18:39:00Z</dcterms:modified>
</cp:coreProperties>
</file>