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5F" w:rsidRPr="00C6615F" w:rsidRDefault="00B161AF" w:rsidP="00C6615F">
      <w:pPr>
        <w:spacing w:after="0" w:line="36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bCs/>
          <w:lang w:val="en-US"/>
        </w:rPr>
        <w:t>DEFEN</w:t>
      </w:r>
      <w:r w:rsidR="008655DC">
        <w:rPr>
          <w:rFonts w:ascii="Times New Roman" w:hAnsi="Times New Roman" w:cs="Times New Roman"/>
          <w:b/>
          <w:bCs/>
          <w:lang w:val="en-US"/>
        </w:rPr>
        <w:t>S</w:t>
      </w:r>
      <w:r w:rsidRPr="00B161AF">
        <w:rPr>
          <w:rFonts w:ascii="Times New Roman" w:hAnsi="Times New Roman" w:cs="Times New Roman"/>
          <w:b/>
          <w:bCs/>
          <w:lang w:val="en-US"/>
        </w:rPr>
        <w:t>E IMPORT AND EXTERNAL SECTOR OF INDIA</w:t>
      </w:r>
    </w:p>
    <w:p w:rsidR="00E11E1E" w:rsidRDefault="00E11E1E" w:rsidP="000E4885">
      <w:pPr>
        <w:spacing w:after="0" w:line="360" w:lineRule="auto"/>
        <w:jc w:val="center"/>
        <w:rPr>
          <w:rFonts w:ascii="Times New Roman" w:hAnsi="Times New Roman" w:cs="Times New Roman"/>
          <w:b/>
          <w:sz w:val="28"/>
          <w:szCs w:val="28"/>
        </w:rPr>
      </w:pPr>
    </w:p>
    <w:p w:rsidR="00C6615F" w:rsidRDefault="00D430C4" w:rsidP="00E11E1E">
      <w:pPr>
        <w:spacing w:after="0" w:line="360" w:lineRule="auto"/>
        <w:jc w:val="center"/>
        <w:rPr>
          <w:rFonts w:ascii="Times New Roman" w:hAnsi="Times New Roman" w:cs="Times New Roman"/>
          <w:b/>
        </w:rPr>
      </w:pPr>
      <w:r>
        <w:rPr>
          <w:rFonts w:ascii="Times New Roman" w:hAnsi="Times New Roman" w:cs="Times New Roman"/>
          <w:b/>
          <w:lang w:val="en-US"/>
        </w:rPr>
        <w:t>Prof</w:t>
      </w:r>
      <w:r w:rsidR="00C6615F" w:rsidRPr="00C6615F">
        <w:rPr>
          <w:rFonts w:ascii="Times New Roman" w:hAnsi="Times New Roman" w:cs="Times New Roman"/>
          <w:b/>
          <w:lang w:val="en-US"/>
        </w:rPr>
        <w:t xml:space="preserve">. </w:t>
      </w:r>
      <w:r w:rsidR="00B161AF">
        <w:rPr>
          <w:rFonts w:ascii="Times New Roman" w:hAnsi="Times New Roman" w:cs="Times New Roman"/>
          <w:b/>
          <w:lang w:val="en-US"/>
        </w:rPr>
        <w:t>Justine George</w:t>
      </w:r>
    </w:p>
    <w:p w:rsidR="00F41570" w:rsidRDefault="00D430C4" w:rsidP="00E11E1E">
      <w:pPr>
        <w:spacing w:after="0" w:line="360" w:lineRule="auto"/>
        <w:jc w:val="center"/>
        <w:rPr>
          <w:rFonts w:ascii="Times New Roman" w:hAnsi="Times New Roman" w:cs="Times New Roman"/>
          <w:sz w:val="20"/>
          <w:szCs w:val="20"/>
          <w:lang w:val="en-US"/>
        </w:rPr>
      </w:pPr>
      <w:r w:rsidRPr="00D430C4">
        <w:rPr>
          <w:rFonts w:ascii="Times New Roman" w:hAnsi="Times New Roman" w:cs="Times New Roman"/>
          <w:sz w:val="20"/>
          <w:szCs w:val="20"/>
          <w:lang w:val="en-US"/>
        </w:rPr>
        <w:t xml:space="preserve">Assistant Professor, </w:t>
      </w:r>
      <w:r w:rsidR="004D16F8">
        <w:rPr>
          <w:rFonts w:ascii="Times New Roman" w:hAnsi="Times New Roman" w:cs="Times New Roman"/>
          <w:sz w:val="20"/>
          <w:szCs w:val="20"/>
          <w:lang w:val="en-US"/>
        </w:rPr>
        <w:t>St. Paul’s College</w:t>
      </w:r>
      <w:r w:rsidRPr="00D430C4">
        <w:rPr>
          <w:rFonts w:ascii="Times New Roman" w:hAnsi="Times New Roman" w:cs="Times New Roman"/>
          <w:sz w:val="20"/>
          <w:szCs w:val="20"/>
          <w:lang w:val="en-US"/>
        </w:rPr>
        <w:t xml:space="preserve">, </w:t>
      </w:r>
      <w:proofErr w:type="spellStart"/>
      <w:r w:rsidRPr="00D430C4">
        <w:rPr>
          <w:rFonts w:ascii="Times New Roman" w:hAnsi="Times New Roman" w:cs="Times New Roman"/>
          <w:sz w:val="20"/>
          <w:szCs w:val="20"/>
          <w:lang w:val="en-US"/>
        </w:rPr>
        <w:t>K</w:t>
      </w:r>
      <w:r w:rsidR="004D16F8">
        <w:rPr>
          <w:rFonts w:ascii="Times New Roman" w:hAnsi="Times New Roman" w:cs="Times New Roman"/>
          <w:sz w:val="20"/>
          <w:szCs w:val="20"/>
          <w:lang w:val="en-US"/>
        </w:rPr>
        <w:t>alamassery</w:t>
      </w:r>
      <w:proofErr w:type="spellEnd"/>
    </w:p>
    <w:p w:rsidR="00B161AF" w:rsidRDefault="00B161AF" w:rsidP="00E11E1E">
      <w:pPr>
        <w:spacing w:after="0" w:line="360" w:lineRule="auto"/>
        <w:jc w:val="center"/>
        <w:rPr>
          <w:rFonts w:ascii="Times New Roman" w:hAnsi="Times New Roman" w:cs="Times New Roman"/>
          <w:b/>
          <w:lang w:val="en-US"/>
        </w:rPr>
      </w:pPr>
      <w:r w:rsidRPr="00B161AF">
        <w:rPr>
          <w:rFonts w:ascii="Times New Roman" w:hAnsi="Times New Roman" w:cs="Times New Roman"/>
          <w:b/>
          <w:lang w:val="en-US"/>
        </w:rPr>
        <w:t xml:space="preserve">Prof. </w:t>
      </w:r>
      <w:proofErr w:type="spellStart"/>
      <w:r w:rsidRPr="00B161AF">
        <w:rPr>
          <w:rFonts w:ascii="Times New Roman" w:hAnsi="Times New Roman" w:cs="Times New Roman"/>
          <w:b/>
          <w:lang w:val="en-US"/>
        </w:rPr>
        <w:t>Alphonsa</w:t>
      </w:r>
      <w:proofErr w:type="spellEnd"/>
      <w:r w:rsidRPr="00B161AF">
        <w:rPr>
          <w:rFonts w:ascii="Times New Roman" w:hAnsi="Times New Roman" w:cs="Times New Roman"/>
          <w:b/>
          <w:lang w:val="en-US"/>
        </w:rPr>
        <w:t xml:space="preserve"> </w:t>
      </w:r>
      <w:proofErr w:type="spellStart"/>
      <w:r w:rsidRPr="00B161AF">
        <w:rPr>
          <w:rFonts w:ascii="Times New Roman" w:hAnsi="Times New Roman" w:cs="Times New Roman"/>
          <w:b/>
          <w:lang w:val="en-US"/>
        </w:rPr>
        <w:t>Kurian</w:t>
      </w:r>
      <w:proofErr w:type="spellEnd"/>
    </w:p>
    <w:p w:rsidR="00B161AF" w:rsidRPr="00B161AF" w:rsidRDefault="00B161AF" w:rsidP="00E11E1E">
      <w:pPr>
        <w:spacing w:after="0" w:line="360" w:lineRule="auto"/>
        <w:jc w:val="center"/>
        <w:rPr>
          <w:rFonts w:ascii="Times New Roman" w:hAnsi="Times New Roman" w:cs="Times New Roman"/>
          <w:sz w:val="20"/>
          <w:szCs w:val="20"/>
          <w:lang w:val="en-US"/>
        </w:rPr>
      </w:pPr>
      <w:r w:rsidRPr="00B161AF">
        <w:rPr>
          <w:rFonts w:ascii="Times New Roman" w:hAnsi="Times New Roman" w:cs="Times New Roman"/>
          <w:sz w:val="20"/>
          <w:szCs w:val="20"/>
          <w:lang w:val="en-US"/>
        </w:rPr>
        <w:t xml:space="preserve">Assistant Professor, </w:t>
      </w:r>
      <w:r>
        <w:rPr>
          <w:rFonts w:ascii="Times New Roman" w:hAnsi="Times New Roman" w:cs="Times New Roman"/>
          <w:sz w:val="20"/>
          <w:szCs w:val="20"/>
          <w:lang w:val="en-US"/>
        </w:rPr>
        <w:t>B.C.M.</w:t>
      </w:r>
      <w:r w:rsidRPr="00B161AF">
        <w:rPr>
          <w:rFonts w:ascii="Times New Roman" w:hAnsi="Times New Roman" w:cs="Times New Roman"/>
          <w:sz w:val="20"/>
          <w:szCs w:val="20"/>
          <w:lang w:val="en-US"/>
        </w:rPr>
        <w:t xml:space="preserve"> College, </w:t>
      </w:r>
      <w:proofErr w:type="spellStart"/>
      <w:r w:rsidRPr="00B161AF">
        <w:rPr>
          <w:rFonts w:ascii="Times New Roman" w:hAnsi="Times New Roman" w:cs="Times New Roman"/>
          <w:sz w:val="20"/>
          <w:szCs w:val="20"/>
          <w:lang w:val="en-US"/>
        </w:rPr>
        <w:t>K</w:t>
      </w:r>
      <w:r>
        <w:rPr>
          <w:rFonts w:ascii="Times New Roman" w:hAnsi="Times New Roman" w:cs="Times New Roman"/>
          <w:sz w:val="20"/>
          <w:szCs w:val="20"/>
          <w:lang w:val="en-US"/>
        </w:rPr>
        <w:t>ottayam</w:t>
      </w:r>
      <w:proofErr w:type="spellEnd"/>
    </w:p>
    <w:p w:rsidR="00D430C4" w:rsidRPr="00E11E1E" w:rsidRDefault="00D430C4" w:rsidP="00E11E1E">
      <w:pPr>
        <w:spacing w:after="0" w:line="360" w:lineRule="auto"/>
        <w:jc w:val="center"/>
        <w:rPr>
          <w:rFonts w:ascii="Times New Roman" w:hAnsi="Times New Roman" w:cs="Times New Roman"/>
          <w:b/>
          <w:sz w:val="20"/>
          <w:szCs w:val="20"/>
        </w:rPr>
      </w:pPr>
    </w:p>
    <w:p w:rsidR="000E4885" w:rsidRDefault="00027409" w:rsidP="00E11E1E">
      <w:pPr>
        <w:spacing w:after="0" w:line="360" w:lineRule="auto"/>
        <w:jc w:val="center"/>
        <w:rPr>
          <w:rFonts w:ascii="Times New Roman" w:hAnsi="Times New Roman" w:cs="Times New Roman"/>
          <w:b/>
        </w:rPr>
      </w:pPr>
      <w:r>
        <w:rPr>
          <w:rFonts w:ascii="Times New Roman" w:hAnsi="Times New Roman" w:cs="Times New Roman"/>
          <w:b/>
        </w:rPr>
        <w:t>Abstract</w:t>
      </w:r>
    </w:p>
    <w:p w:rsidR="006065CE" w:rsidRDefault="00B161AF" w:rsidP="00B161AF">
      <w:pPr>
        <w:spacing w:after="0" w:line="360" w:lineRule="auto"/>
        <w:jc w:val="both"/>
        <w:rPr>
          <w:rFonts w:ascii="Times New Roman" w:hAnsi="Times New Roman" w:cs="Times New Roman"/>
          <w:i/>
        </w:rPr>
      </w:pPr>
      <w:r w:rsidRPr="00B161AF">
        <w:rPr>
          <w:rFonts w:ascii="Times New Roman" w:hAnsi="Times New Roman" w:cs="Times New Roman"/>
          <w:i/>
        </w:rPr>
        <w:t xml:space="preserve">Non-availability of exact data may be the reason pertaining to the absence of heated discussions with regards to the import of </w:t>
      </w:r>
      <w:proofErr w:type="spellStart"/>
      <w:r w:rsidRPr="00B161AF">
        <w:rPr>
          <w:rFonts w:ascii="Times New Roman" w:hAnsi="Times New Roman" w:cs="Times New Roman"/>
          <w:i/>
        </w:rPr>
        <w:t>defense</w:t>
      </w:r>
      <w:proofErr w:type="spellEnd"/>
      <w:r w:rsidRPr="00B161AF">
        <w:rPr>
          <w:rFonts w:ascii="Times New Roman" w:hAnsi="Times New Roman" w:cs="Times New Roman"/>
          <w:i/>
        </w:rPr>
        <w:t xml:space="preserve"> </w:t>
      </w:r>
      <w:proofErr w:type="spellStart"/>
      <w:r w:rsidRPr="00B161AF">
        <w:rPr>
          <w:rFonts w:ascii="Times New Roman" w:hAnsi="Times New Roman" w:cs="Times New Roman"/>
          <w:i/>
        </w:rPr>
        <w:t>equipments</w:t>
      </w:r>
      <w:proofErr w:type="spellEnd"/>
      <w:r w:rsidRPr="00B161AF">
        <w:rPr>
          <w:rFonts w:ascii="Times New Roman" w:hAnsi="Times New Roman" w:cs="Times New Roman"/>
          <w:i/>
        </w:rPr>
        <w:t xml:space="preserve"> in India in relation to the external sector unlike the case of Petroleum, Oil and Lubricant (POL) and Gold imports. The analysis confirmed that arms import owes a great impact on lifting import payments, thereby generating more needs for foreign exchange.</w:t>
      </w:r>
    </w:p>
    <w:p w:rsidR="00B161AF" w:rsidRPr="00B161AF" w:rsidRDefault="00B161AF" w:rsidP="00B161AF">
      <w:pPr>
        <w:spacing w:after="0" w:line="360" w:lineRule="auto"/>
        <w:jc w:val="both"/>
        <w:rPr>
          <w:rFonts w:ascii="Times New Roman" w:hAnsi="Times New Roman" w:cs="Times New Roman"/>
          <w:i/>
        </w:rPr>
      </w:pPr>
    </w:p>
    <w:p w:rsidR="00D430C4" w:rsidRPr="006F1FC3" w:rsidRDefault="00D430C4" w:rsidP="00D430C4">
      <w:pPr>
        <w:spacing w:after="120" w:line="360" w:lineRule="auto"/>
        <w:jc w:val="both"/>
        <w:rPr>
          <w:rFonts w:ascii="Times New Roman" w:hAnsi="Times New Roman"/>
          <w:b/>
        </w:rPr>
      </w:pPr>
      <w:r w:rsidRPr="006F1FC3">
        <w:rPr>
          <w:rFonts w:ascii="Times New Roman" w:hAnsi="Times New Roman"/>
          <w:b/>
        </w:rPr>
        <w:t>Introduction</w:t>
      </w:r>
    </w:p>
    <w:p w:rsidR="00B161AF" w:rsidRPr="00B161AF" w:rsidRDefault="00B161AF" w:rsidP="00B161AF">
      <w:pPr>
        <w:spacing w:after="120" w:line="336" w:lineRule="auto"/>
        <w:ind w:firstLine="720"/>
        <w:jc w:val="both"/>
        <w:rPr>
          <w:rFonts w:ascii="Times New Roman" w:hAnsi="Times New Roman"/>
        </w:rPr>
      </w:pPr>
      <w:r w:rsidRPr="00B161AF">
        <w:rPr>
          <w:rFonts w:ascii="Times New Roman" w:hAnsi="Times New Roman"/>
        </w:rPr>
        <w:t xml:space="preserve">The defence sector is certainly an ideal and potential determinant to reflect upon Prime Minister </w:t>
      </w:r>
      <w:proofErr w:type="spellStart"/>
      <w:r w:rsidRPr="00B161AF">
        <w:rPr>
          <w:rFonts w:ascii="Times New Roman" w:hAnsi="Times New Roman"/>
        </w:rPr>
        <w:t>Modi’s</w:t>
      </w:r>
      <w:proofErr w:type="spellEnd"/>
      <w:r w:rsidRPr="00B161AF">
        <w:rPr>
          <w:rFonts w:ascii="Times New Roman" w:hAnsi="Times New Roman"/>
        </w:rPr>
        <w:t xml:space="preserve"> ‘Make in India’ slogan, a mission campaign to manufacture products indigenously, as India tops in the list of countries having the largest arms imports in the period between 1990 and 2014. This proposition is essentially premised on the data released by Stockholm International Peace Research Institute (SIPRI), an independent research institute in Sweden that records arms transfers across borders. The place of India as the biggest arms importer in the world is speculated to progress rapidly further as the government has fixed on to modernize armed forces and hence the pace of procurement in the approaching years will be inflated when compared to the previous years. The basic issue the </w:t>
      </w:r>
      <w:r w:rsidRPr="00B161AF">
        <w:rPr>
          <w:rFonts w:ascii="Times New Roman" w:hAnsi="Times New Roman"/>
        </w:rPr>
        <w:lastRenderedPageBreak/>
        <w:t xml:space="preserve">paper attempts to explore is to get a clear sense of the arms import and thereby to understand the effects of such transactions on the external sector of India.  Undeniably it has been engagingly hard to manage external sector in the post liberalization period. Therefore, the first </w:t>
      </w:r>
      <w:proofErr w:type="gramStart"/>
      <w:r w:rsidRPr="00B161AF">
        <w:rPr>
          <w:rFonts w:ascii="Times New Roman" w:hAnsi="Times New Roman"/>
        </w:rPr>
        <w:t>section  of</w:t>
      </w:r>
      <w:proofErr w:type="gramEnd"/>
      <w:r w:rsidRPr="00B161AF">
        <w:rPr>
          <w:rFonts w:ascii="Times New Roman" w:hAnsi="Times New Roman"/>
        </w:rPr>
        <w:t xml:space="preserve"> this paper ventures to make an overview on the imports of arms and ammunitions to India in the post liberalization period and the second section seeks to measure the impact of arms imports on external sector, which is finally followed</w:t>
      </w:r>
      <w:r>
        <w:rPr>
          <w:rFonts w:ascii="Times New Roman" w:hAnsi="Times New Roman"/>
        </w:rPr>
        <w:t xml:space="preserve"> by the conclusion </w:t>
      </w:r>
      <w:proofErr w:type="spellStart"/>
      <w:r>
        <w:rPr>
          <w:rFonts w:ascii="Times New Roman" w:hAnsi="Times New Roman"/>
        </w:rPr>
        <w:t>conclusion</w:t>
      </w:r>
      <w:proofErr w:type="spellEnd"/>
      <w:r>
        <w:rPr>
          <w:rFonts w:ascii="Times New Roman" w:hAnsi="Times New Roman"/>
        </w:rPr>
        <w:t xml:space="preserve">. </w:t>
      </w:r>
    </w:p>
    <w:p w:rsidR="00B161AF" w:rsidRPr="008655DC" w:rsidRDefault="00B161AF" w:rsidP="00B161AF">
      <w:pPr>
        <w:spacing w:after="120" w:line="336" w:lineRule="auto"/>
        <w:jc w:val="both"/>
        <w:rPr>
          <w:rFonts w:ascii="Times New Roman" w:hAnsi="Times New Roman"/>
          <w:b/>
        </w:rPr>
      </w:pPr>
      <w:r w:rsidRPr="008655DC">
        <w:rPr>
          <w:rFonts w:ascii="Times New Roman" w:hAnsi="Times New Roman"/>
          <w:b/>
        </w:rPr>
        <w:t xml:space="preserve">I) </w:t>
      </w:r>
      <w:proofErr w:type="gramStart"/>
      <w:r w:rsidRPr="008655DC">
        <w:rPr>
          <w:rFonts w:ascii="Times New Roman" w:hAnsi="Times New Roman"/>
          <w:b/>
        </w:rPr>
        <w:t>An</w:t>
      </w:r>
      <w:proofErr w:type="gramEnd"/>
      <w:r w:rsidRPr="008655DC">
        <w:rPr>
          <w:rFonts w:ascii="Times New Roman" w:hAnsi="Times New Roman"/>
          <w:b/>
        </w:rPr>
        <w:t xml:space="preserve"> overview of the imports of arms and ammunitions to India</w:t>
      </w:r>
    </w:p>
    <w:p w:rsidR="00B161AF" w:rsidRDefault="00B161AF" w:rsidP="00B161AF">
      <w:pPr>
        <w:spacing w:after="120" w:line="336" w:lineRule="auto"/>
        <w:ind w:firstLine="720"/>
        <w:jc w:val="both"/>
        <w:rPr>
          <w:rFonts w:ascii="Times New Roman" w:hAnsi="Times New Roman"/>
        </w:rPr>
      </w:pPr>
      <w:r w:rsidRPr="00B161AF">
        <w:rPr>
          <w:rFonts w:ascii="Times New Roman" w:hAnsi="Times New Roman"/>
        </w:rPr>
        <w:t xml:space="preserve">India's emergence as the world's largest arms importer over the last two decades has to be seen in conjunction with the tensions prevailing in </w:t>
      </w:r>
      <w:proofErr w:type="spellStart"/>
      <w:r w:rsidRPr="00B161AF">
        <w:rPr>
          <w:rFonts w:ascii="Times New Roman" w:hAnsi="Times New Roman"/>
        </w:rPr>
        <w:t>neighborhoods</w:t>
      </w:r>
      <w:proofErr w:type="spellEnd"/>
      <w:r w:rsidRPr="00B161AF">
        <w:rPr>
          <w:rFonts w:ascii="Times New Roman" w:hAnsi="Times New Roman"/>
        </w:rPr>
        <w:t xml:space="preserve"> along with the country's long-term geo-political objectives. India imported 2,724 US $ Million worth arms and ammunitions i.e. 9 per cent of the volume of international arms transfers in 1990 and increased to 5,566 US $ Million dollar in 2012 and went down marginally to 4,243 US $ Million in 2014, but still it is 14 per cent of arms transfers in the world, in which more than 80 per cent of Indian imports come from Russia, which has long been India’s supplier of choice, followed by United States. Meanwhile, in recent times the place of the largest exporter of arms in the world has taken over by United States. Interestingly another factor that has to be noted in this connection is, though China remained one among the top arms buyers in the two successive periods along with India, the growth in the second period is noted to be relatively lower than that of India (See figure 2). This can be largely attributed to the indigenous development of arms production in China as opposed to India to become a more </w:t>
      </w:r>
      <w:proofErr w:type="spellStart"/>
      <w:r w:rsidRPr="00B161AF">
        <w:rPr>
          <w:rFonts w:ascii="Times New Roman" w:hAnsi="Times New Roman"/>
        </w:rPr>
        <w:t>self reliant</w:t>
      </w:r>
      <w:proofErr w:type="spellEnd"/>
      <w:r w:rsidRPr="00B161AF">
        <w:rPr>
          <w:rFonts w:ascii="Times New Roman" w:hAnsi="Times New Roman"/>
        </w:rPr>
        <w:t xml:space="preserve"> nation in matters of arms and ammunitions.</w:t>
      </w:r>
    </w:p>
    <w:p w:rsidR="00B161AF" w:rsidRPr="00B161AF" w:rsidRDefault="00B161AF" w:rsidP="00B161AF">
      <w:pPr>
        <w:spacing w:after="120" w:line="336" w:lineRule="auto"/>
        <w:ind w:firstLine="720"/>
        <w:jc w:val="both"/>
        <w:rPr>
          <w:rFonts w:ascii="Times New Roman" w:hAnsi="Times New Roman"/>
        </w:rPr>
      </w:pPr>
    </w:p>
    <w:p w:rsidR="00B161AF" w:rsidRPr="008655DC" w:rsidRDefault="00B161AF" w:rsidP="008655DC">
      <w:pPr>
        <w:spacing w:after="120" w:line="240" w:lineRule="auto"/>
        <w:jc w:val="both"/>
        <w:rPr>
          <w:rFonts w:ascii="Times New Roman" w:hAnsi="Times New Roman"/>
          <w:b/>
        </w:rPr>
      </w:pPr>
      <w:r w:rsidRPr="008655DC">
        <w:rPr>
          <w:rFonts w:ascii="Times New Roman" w:hAnsi="Times New Roman"/>
          <w:b/>
        </w:rPr>
        <w:lastRenderedPageBreak/>
        <w:t>Figure1: Arms Import to India (In US Millions)</w:t>
      </w:r>
    </w:p>
    <w:p w:rsidR="00B161AF" w:rsidRPr="00B161AF" w:rsidRDefault="00B161AF" w:rsidP="00B161AF">
      <w:pPr>
        <w:spacing w:after="120" w:line="240" w:lineRule="auto"/>
        <w:ind w:firstLine="720"/>
        <w:jc w:val="both"/>
        <w:rPr>
          <w:rFonts w:ascii="Times New Roman" w:hAnsi="Times New Roman"/>
        </w:rPr>
      </w:pPr>
      <w:r>
        <w:rPr>
          <w:rFonts w:ascii="Times New Roman" w:hAnsi="Times New Roman"/>
        </w:rPr>
        <w:t xml:space="preserve"> </w:t>
      </w:r>
      <w:r>
        <w:rPr>
          <w:noProof/>
          <w:sz w:val="22"/>
          <w:szCs w:val="22"/>
        </w:rPr>
        <w:drawing>
          <wp:inline distT="0" distB="0" distL="0" distR="0" wp14:anchorId="41934BF5" wp14:editId="4AD5DCBB">
            <wp:extent cx="4572000" cy="2130157"/>
            <wp:effectExtent l="0" t="0" r="0" b="38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61AF" w:rsidRPr="008655DC" w:rsidRDefault="00B161AF" w:rsidP="00B161AF">
      <w:pPr>
        <w:spacing w:after="120" w:line="360" w:lineRule="auto"/>
        <w:jc w:val="both"/>
        <w:rPr>
          <w:rFonts w:ascii="Times New Roman" w:hAnsi="Times New Roman"/>
          <w:sz w:val="22"/>
          <w:szCs w:val="22"/>
        </w:rPr>
      </w:pPr>
      <w:r w:rsidRPr="008655DC">
        <w:rPr>
          <w:rFonts w:ascii="Times New Roman" w:hAnsi="Times New Roman"/>
          <w:sz w:val="22"/>
          <w:szCs w:val="22"/>
        </w:rPr>
        <w:t>Source: Database on arms transfers between nations, Stockholm international research institute (SIPRI)</w:t>
      </w:r>
    </w:p>
    <w:p w:rsidR="00B161AF" w:rsidRPr="008655DC" w:rsidRDefault="00B161AF" w:rsidP="008655DC">
      <w:pPr>
        <w:spacing w:after="120" w:line="360" w:lineRule="auto"/>
        <w:jc w:val="both"/>
        <w:rPr>
          <w:rFonts w:ascii="Times New Roman" w:hAnsi="Times New Roman"/>
          <w:b/>
        </w:rPr>
      </w:pPr>
      <w:r w:rsidRPr="008655DC">
        <w:rPr>
          <w:rFonts w:ascii="Times New Roman" w:hAnsi="Times New Roman"/>
          <w:b/>
        </w:rPr>
        <w:t>Figure2: Arm</w:t>
      </w:r>
      <w:r w:rsidR="008655DC" w:rsidRPr="008655DC">
        <w:rPr>
          <w:rFonts w:ascii="Times New Roman" w:hAnsi="Times New Roman"/>
          <w:b/>
        </w:rPr>
        <w:t xml:space="preserve">s Import by top arms </w:t>
      </w:r>
      <w:proofErr w:type="gramStart"/>
      <w:r w:rsidR="008655DC" w:rsidRPr="008655DC">
        <w:rPr>
          <w:rFonts w:ascii="Times New Roman" w:hAnsi="Times New Roman"/>
          <w:b/>
        </w:rPr>
        <w:t>Importers</w:t>
      </w:r>
      <w:r w:rsidRPr="008655DC">
        <w:rPr>
          <w:rFonts w:ascii="Times New Roman" w:hAnsi="Times New Roman"/>
          <w:b/>
        </w:rPr>
        <w:t>(</w:t>
      </w:r>
      <w:proofErr w:type="gramEnd"/>
      <w:r w:rsidRPr="008655DC">
        <w:rPr>
          <w:rFonts w:ascii="Times New Roman" w:hAnsi="Times New Roman"/>
          <w:b/>
        </w:rPr>
        <w:t>In US Millions)</w:t>
      </w:r>
    </w:p>
    <w:p w:rsidR="00B161AF" w:rsidRDefault="00B161AF" w:rsidP="00B161AF">
      <w:pPr>
        <w:spacing w:after="120" w:line="360" w:lineRule="auto"/>
        <w:jc w:val="both"/>
        <w:rPr>
          <w:rFonts w:ascii="Times New Roman" w:hAnsi="Times New Roman"/>
        </w:rPr>
      </w:pPr>
      <w:r>
        <w:rPr>
          <w:noProof/>
        </w:rPr>
        <w:drawing>
          <wp:inline distT="0" distB="0" distL="0" distR="0">
            <wp:extent cx="4572000" cy="20859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61AF" w:rsidRDefault="00B161AF" w:rsidP="00B161AF">
      <w:pPr>
        <w:spacing w:after="120" w:line="360" w:lineRule="auto"/>
        <w:jc w:val="both"/>
        <w:rPr>
          <w:rFonts w:ascii="Times New Roman" w:hAnsi="Times New Roman"/>
          <w:sz w:val="22"/>
          <w:szCs w:val="22"/>
        </w:rPr>
      </w:pPr>
      <w:r w:rsidRPr="008655DC">
        <w:rPr>
          <w:rFonts w:ascii="Times New Roman" w:hAnsi="Times New Roman"/>
          <w:sz w:val="22"/>
          <w:szCs w:val="22"/>
        </w:rPr>
        <w:t xml:space="preserve">Source: Database on arms transfers between nations, Stockholm </w:t>
      </w:r>
      <w:proofErr w:type="gramStart"/>
      <w:r w:rsidRPr="008655DC">
        <w:rPr>
          <w:rFonts w:ascii="Times New Roman" w:hAnsi="Times New Roman"/>
          <w:sz w:val="22"/>
          <w:szCs w:val="22"/>
        </w:rPr>
        <w:t>international  research</w:t>
      </w:r>
      <w:proofErr w:type="gramEnd"/>
      <w:r w:rsidRPr="008655DC">
        <w:rPr>
          <w:rFonts w:ascii="Times New Roman" w:hAnsi="Times New Roman"/>
          <w:sz w:val="22"/>
          <w:szCs w:val="22"/>
        </w:rPr>
        <w:t xml:space="preserve"> institute (SIPRI)</w:t>
      </w:r>
    </w:p>
    <w:p w:rsidR="008655DC" w:rsidRDefault="008655DC" w:rsidP="00B161AF">
      <w:pPr>
        <w:spacing w:after="120" w:line="360" w:lineRule="auto"/>
        <w:jc w:val="both"/>
        <w:rPr>
          <w:rFonts w:ascii="Times New Roman" w:hAnsi="Times New Roman"/>
          <w:sz w:val="22"/>
          <w:szCs w:val="22"/>
        </w:rPr>
      </w:pPr>
    </w:p>
    <w:p w:rsidR="008655DC" w:rsidRDefault="008655DC" w:rsidP="00B161AF">
      <w:pPr>
        <w:spacing w:after="120" w:line="360" w:lineRule="auto"/>
        <w:ind w:firstLine="720"/>
        <w:jc w:val="both"/>
        <w:rPr>
          <w:rFonts w:ascii="Times New Roman" w:hAnsi="Times New Roman"/>
          <w:sz w:val="22"/>
          <w:szCs w:val="22"/>
        </w:rPr>
      </w:pPr>
    </w:p>
    <w:p w:rsidR="00B161AF" w:rsidRPr="008655DC" w:rsidRDefault="00B161AF" w:rsidP="008655DC">
      <w:pPr>
        <w:spacing w:after="120" w:line="360" w:lineRule="auto"/>
        <w:jc w:val="both"/>
        <w:rPr>
          <w:rFonts w:ascii="Times New Roman" w:hAnsi="Times New Roman"/>
          <w:b/>
        </w:rPr>
      </w:pPr>
      <w:r w:rsidRPr="008655DC">
        <w:rPr>
          <w:rFonts w:ascii="Times New Roman" w:hAnsi="Times New Roman"/>
          <w:b/>
        </w:rPr>
        <w:lastRenderedPageBreak/>
        <w:t>II)</w:t>
      </w:r>
      <w:r w:rsidRPr="008655DC">
        <w:rPr>
          <w:rFonts w:ascii="Times New Roman" w:hAnsi="Times New Roman"/>
          <w:b/>
        </w:rPr>
        <w:tab/>
        <w:t>Impact of arms imports on external sector</w:t>
      </w:r>
    </w:p>
    <w:p w:rsidR="00B161AF" w:rsidRPr="00B161AF" w:rsidRDefault="00B161AF" w:rsidP="008655DC">
      <w:pPr>
        <w:spacing w:after="120" w:line="360" w:lineRule="auto"/>
        <w:ind w:firstLine="720"/>
        <w:jc w:val="both"/>
        <w:rPr>
          <w:rFonts w:ascii="Times New Roman" w:hAnsi="Times New Roman"/>
        </w:rPr>
      </w:pPr>
      <w:r w:rsidRPr="00B161AF">
        <w:rPr>
          <w:rFonts w:ascii="Times New Roman" w:hAnsi="Times New Roman"/>
        </w:rPr>
        <w:t>India meets around 70 per</w:t>
      </w:r>
      <w:r w:rsidR="008655DC">
        <w:rPr>
          <w:rFonts w:ascii="Times New Roman" w:hAnsi="Times New Roman"/>
        </w:rPr>
        <w:t xml:space="preserve"> </w:t>
      </w:r>
      <w:r w:rsidRPr="00B161AF">
        <w:rPr>
          <w:rFonts w:ascii="Times New Roman" w:hAnsi="Times New Roman"/>
        </w:rPr>
        <w:t>cent of its defen</w:t>
      </w:r>
      <w:r w:rsidR="008655DC">
        <w:rPr>
          <w:rFonts w:ascii="Times New Roman" w:hAnsi="Times New Roman"/>
        </w:rPr>
        <w:t>c</w:t>
      </w:r>
      <w:r w:rsidRPr="00B161AF">
        <w:rPr>
          <w:rFonts w:ascii="Times New Roman" w:hAnsi="Times New Roman"/>
        </w:rPr>
        <w:t xml:space="preserve">e needs through imports. In opposition to India having 39 ordnance factories and eight public sector undertakings (PSU) employing over 3, 00,000 workforces towards the production of </w:t>
      </w:r>
      <w:proofErr w:type="spellStart"/>
      <w:r w:rsidRPr="00B161AF">
        <w:rPr>
          <w:rFonts w:ascii="Times New Roman" w:hAnsi="Times New Roman"/>
        </w:rPr>
        <w:t>defense</w:t>
      </w:r>
      <w:proofErr w:type="spellEnd"/>
      <w:r w:rsidRPr="00B161AF">
        <w:rPr>
          <w:rFonts w:ascii="Times New Roman" w:hAnsi="Times New Roman"/>
        </w:rPr>
        <w:t xml:space="preserve"> </w:t>
      </w:r>
      <w:proofErr w:type="spellStart"/>
      <w:r w:rsidRPr="00B161AF">
        <w:rPr>
          <w:rFonts w:ascii="Times New Roman" w:hAnsi="Times New Roman"/>
        </w:rPr>
        <w:t>equipments</w:t>
      </w:r>
      <w:proofErr w:type="spellEnd"/>
      <w:r w:rsidRPr="00B161AF">
        <w:rPr>
          <w:rFonts w:ascii="Times New Roman" w:hAnsi="Times New Roman"/>
        </w:rPr>
        <w:t xml:space="preserve">, we still mostly depend on imports for </w:t>
      </w:r>
      <w:proofErr w:type="spellStart"/>
      <w:r w:rsidRPr="00B161AF">
        <w:rPr>
          <w:rFonts w:ascii="Times New Roman" w:hAnsi="Times New Roman"/>
        </w:rPr>
        <w:t>defense</w:t>
      </w:r>
      <w:proofErr w:type="spellEnd"/>
      <w:r w:rsidRPr="00B161AF">
        <w:rPr>
          <w:rFonts w:ascii="Times New Roman" w:hAnsi="Times New Roman"/>
        </w:rPr>
        <w:t xml:space="preserve"> requirements (Nair, 2009).  Notwithstanding the clear evidence of huge </w:t>
      </w:r>
      <w:proofErr w:type="spellStart"/>
      <w:r w:rsidRPr="00B161AF">
        <w:rPr>
          <w:rFonts w:ascii="Times New Roman" w:hAnsi="Times New Roman"/>
        </w:rPr>
        <w:t>defense</w:t>
      </w:r>
      <w:proofErr w:type="spellEnd"/>
      <w:r w:rsidRPr="00B161AF">
        <w:rPr>
          <w:rFonts w:ascii="Times New Roman" w:hAnsi="Times New Roman"/>
        </w:rPr>
        <w:t xml:space="preserve"> imports to India, in conformity with the nature of secrecy maintained on such strategic transactions, they are henceforth not recorded under Directorate General of Commercial Intelligence and Statistic’s (DGCI&amp;S) data. But at the same time, the transactions of arms and ammunitions are reflected in the import figures under Balance of Payment (BOP) of India. In other words, plainly speaking, due to the nature of import, there is no clearance for </w:t>
      </w:r>
      <w:proofErr w:type="spellStart"/>
      <w:r w:rsidRPr="00B161AF">
        <w:rPr>
          <w:rFonts w:ascii="Times New Roman" w:hAnsi="Times New Roman"/>
        </w:rPr>
        <w:t>defense</w:t>
      </w:r>
      <w:proofErr w:type="spellEnd"/>
      <w:r w:rsidRPr="00B161AF">
        <w:rPr>
          <w:rFonts w:ascii="Times New Roman" w:hAnsi="Times New Roman"/>
        </w:rPr>
        <w:t xml:space="preserve"> import </w:t>
      </w:r>
      <w:proofErr w:type="spellStart"/>
      <w:r w:rsidRPr="00B161AF">
        <w:rPr>
          <w:rFonts w:ascii="Times New Roman" w:hAnsi="Times New Roman"/>
        </w:rPr>
        <w:t>equipments</w:t>
      </w:r>
      <w:proofErr w:type="spellEnd"/>
      <w:r w:rsidRPr="00B161AF">
        <w:rPr>
          <w:rFonts w:ascii="Times New Roman" w:hAnsi="Times New Roman"/>
        </w:rPr>
        <w:t xml:space="preserve">. Hence, it would hardly enter into the DGCI&amp;S merchandise import data, while RBI covers the same </w:t>
      </w:r>
      <w:r w:rsidR="008655DC">
        <w:rPr>
          <w:rFonts w:ascii="Times New Roman" w:hAnsi="Times New Roman"/>
        </w:rPr>
        <w:t xml:space="preserve">when the imports are paid for. </w:t>
      </w:r>
    </w:p>
    <w:p w:rsidR="00B161AF" w:rsidRPr="00B161AF" w:rsidRDefault="00B161AF" w:rsidP="008655DC">
      <w:pPr>
        <w:spacing w:after="120" w:line="336" w:lineRule="auto"/>
        <w:ind w:firstLine="720"/>
        <w:jc w:val="both"/>
        <w:rPr>
          <w:rFonts w:ascii="Times New Roman" w:hAnsi="Times New Roman"/>
        </w:rPr>
      </w:pPr>
      <w:r w:rsidRPr="00B161AF">
        <w:rPr>
          <w:rFonts w:ascii="Times New Roman" w:hAnsi="Times New Roman"/>
        </w:rPr>
        <w:t xml:space="preserve">High level BOP committee appointed by the government to review the BOP condition in 1991 under the chairmanship of </w:t>
      </w:r>
      <w:proofErr w:type="spellStart"/>
      <w:r w:rsidRPr="00B161AF">
        <w:rPr>
          <w:rFonts w:ascii="Times New Roman" w:hAnsi="Times New Roman"/>
        </w:rPr>
        <w:t>Dr.</w:t>
      </w:r>
      <w:proofErr w:type="spellEnd"/>
      <w:r w:rsidRPr="00B161AF">
        <w:rPr>
          <w:rFonts w:ascii="Times New Roman" w:hAnsi="Times New Roman"/>
        </w:rPr>
        <w:t xml:space="preserve"> C </w:t>
      </w:r>
      <w:proofErr w:type="spellStart"/>
      <w:r w:rsidRPr="00B161AF">
        <w:rPr>
          <w:rFonts w:ascii="Times New Roman" w:hAnsi="Times New Roman"/>
        </w:rPr>
        <w:t>Rangarajan</w:t>
      </w:r>
      <w:proofErr w:type="spellEnd"/>
      <w:r w:rsidRPr="00B161AF">
        <w:rPr>
          <w:rFonts w:ascii="Times New Roman" w:hAnsi="Times New Roman"/>
        </w:rPr>
        <w:t xml:space="preserve">, noted that the presence of non DGCIS import (Excess of RBI imports over DGCI&amp;S imports) is the major evidence for </w:t>
      </w:r>
      <w:proofErr w:type="spellStart"/>
      <w:r w:rsidRPr="00B161AF">
        <w:rPr>
          <w:rFonts w:ascii="Times New Roman" w:hAnsi="Times New Roman"/>
        </w:rPr>
        <w:t>defense</w:t>
      </w:r>
      <w:proofErr w:type="spellEnd"/>
      <w:r w:rsidRPr="00B161AF">
        <w:rPr>
          <w:rFonts w:ascii="Times New Roman" w:hAnsi="Times New Roman"/>
        </w:rPr>
        <w:t xml:space="preserve"> import to India. Therefore, here we take a comparative analysis between import of RBI and DGCI&amp;S to ascertain an approximate amount of arms imports to India. Divergence in merchandise import data between DGCI&amp;S and RBI or high Non DGCI&amp;S merchandise import is indeed one of the clear evidences to substantiate </w:t>
      </w:r>
      <w:proofErr w:type="spellStart"/>
      <w:r w:rsidRPr="00B161AF">
        <w:rPr>
          <w:rFonts w:ascii="Times New Roman" w:hAnsi="Times New Roman"/>
        </w:rPr>
        <w:t>defense</w:t>
      </w:r>
      <w:proofErr w:type="spellEnd"/>
      <w:r w:rsidRPr="00B161AF">
        <w:rPr>
          <w:rFonts w:ascii="Times New Roman" w:hAnsi="Times New Roman"/>
        </w:rPr>
        <w:t xml:space="preserve"> import to India (See Figure 3). During the post liberalisation period, merchandise import reported by RBI has been found significantly higher than import reported by DGCI&amp;S. When it </w:t>
      </w:r>
      <w:r w:rsidRPr="00B161AF">
        <w:rPr>
          <w:rFonts w:ascii="Times New Roman" w:hAnsi="Times New Roman"/>
        </w:rPr>
        <w:lastRenderedPageBreak/>
        <w:t xml:space="preserve">comes to export, the divergence between exports reported by RBI and DGCI&amp;S is considerably lower.  Therefore the increased difference in import figures reported by the two agencies point to the undeniable fact of increasing </w:t>
      </w:r>
      <w:proofErr w:type="spellStart"/>
      <w:r w:rsidRPr="00B161AF">
        <w:rPr>
          <w:rFonts w:ascii="Times New Roman" w:hAnsi="Times New Roman"/>
        </w:rPr>
        <w:t>defense</w:t>
      </w:r>
      <w:proofErr w:type="spellEnd"/>
      <w:r w:rsidRPr="00B161AF">
        <w:rPr>
          <w:rFonts w:ascii="Times New Roman" w:hAnsi="Times New Roman"/>
        </w:rPr>
        <w:t xml:space="preserve"> imports. However it needs mentioning of the existence of other reasons attributing to the divergence between the two data, that may include (i) divergence in the valuation method of foreign currencies between two agencies and (ii) leads and lags in physical import and payments. Yet, RBI import figure always stands higher than DGCI&amp;S import and this divergence is found only between import figures and hence there is no much divergence in case of export value which in turn strengthens the argument of high </w:t>
      </w:r>
      <w:proofErr w:type="spellStart"/>
      <w:r w:rsidRPr="00B161AF">
        <w:rPr>
          <w:rFonts w:ascii="Times New Roman" w:hAnsi="Times New Roman"/>
        </w:rPr>
        <w:t>defense</w:t>
      </w:r>
      <w:proofErr w:type="spellEnd"/>
      <w:r w:rsidRPr="00B161AF">
        <w:rPr>
          <w:rFonts w:ascii="Times New Roman" w:hAnsi="Times New Roman"/>
        </w:rPr>
        <w:t xml:space="preserve"> imports to India. We could also expect that the variation in the import value divergence between RBI and DGCI&amp;S might be a strong indicator to represent that modernisation is gearing up in the armed forces of India through imports. </w:t>
      </w:r>
    </w:p>
    <w:p w:rsidR="00B161AF" w:rsidRPr="00B161AF" w:rsidRDefault="00B161AF" w:rsidP="008655DC">
      <w:pPr>
        <w:spacing w:after="120" w:line="360" w:lineRule="auto"/>
        <w:jc w:val="both"/>
        <w:rPr>
          <w:rFonts w:ascii="Times New Roman" w:hAnsi="Times New Roman"/>
        </w:rPr>
      </w:pPr>
      <w:r w:rsidRPr="00B161AF">
        <w:rPr>
          <w:rFonts w:ascii="Times New Roman" w:hAnsi="Times New Roman"/>
        </w:rPr>
        <w:t>Figure 3:  Divergence between import and export value, RBI versus DGCI&amp;S</w:t>
      </w:r>
      <w:r w:rsidR="008655DC">
        <w:rPr>
          <w:rFonts w:ascii="Times New Roman" w:hAnsi="Times New Roman"/>
        </w:rPr>
        <w:t xml:space="preserve"> </w:t>
      </w:r>
      <w:r w:rsidRPr="00B161AF">
        <w:rPr>
          <w:rFonts w:ascii="Times New Roman" w:hAnsi="Times New Roman"/>
        </w:rPr>
        <w:t xml:space="preserve">(Values are in </w:t>
      </w:r>
      <w:proofErr w:type="spellStart"/>
      <w:r w:rsidRPr="00B161AF">
        <w:rPr>
          <w:rFonts w:ascii="Times New Roman" w:hAnsi="Times New Roman"/>
        </w:rPr>
        <w:t>Rs</w:t>
      </w:r>
      <w:proofErr w:type="spellEnd"/>
      <w:r w:rsidRPr="00B161AF">
        <w:rPr>
          <w:rFonts w:ascii="Times New Roman" w:hAnsi="Times New Roman"/>
        </w:rPr>
        <w:t xml:space="preserve"> Billion)</w:t>
      </w:r>
    </w:p>
    <w:p w:rsidR="00B161AF" w:rsidRPr="00B161AF" w:rsidRDefault="00B161AF" w:rsidP="008655DC">
      <w:pPr>
        <w:spacing w:after="120" w:line="360" w:lineRule="auto"/>
        <w:jc w:val="both"/>
        <w:rPr>
          <w:rFonts w:ascii="Times New Roman" w:hAnsi="Times New Roman"/>
        </w:rPr>
      </w:pPr>
      <w:r w:rsidRPr="00B161AF">
        <w:rPr>
          <w:rFonts w:ascii="Times New Roman" w:hAnsi="Times New Roman"/>
        </w:rPr>
        <w:t xml:space="preserve"> </w:t>
      </w:r>
      <w:r w:rsidR="008655DC">
        <w:rPr>
          <w:b/>
          <w:noProof/>
          <w:kern w:val="0"/>
        </w:rPr>
        <w:drawing>
          <wp:inline distT="0" distB="0" distL="0" distR="0">
            <wp:extent cx="4167188" cy="2119313"/>
            <wp:effectExtent l="0" t="0" r="508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1AF" w:rsidRPr="00B161AF" w:rsidRDefault="00B161AF" w:rsidP="008655DC">
      <w:pPr>
        <w:spacing w:after="120" w:line="360" w:lineRule="auto"/>
        <w:jc w:val="both"/>
        <w:rPr>
          <w:rFonts w:ascii="Times New Roman" w:hAnsi="Times New Roman"/>
        </w:rPr>
      </w:pPr>
      <w:r w:rsidRPr="00B161AF">
        <w:rPr>
          <w:rFonts w:ascii="Times New Roman" w:hAnsi="Times New Roman"/>
        </w:rPr>
        <w:t xml:space="preserve">Source: Computed from RBI’s Data Base on Indian </w:t>
      </w:r>
      <w:proofErr w:type="gramStart"/>
      <w:r w:rsidRPr="00B161AF">
        <w:rPr>
          <w:rFonts w:ascii="Times New Roman" w:hAnsi="Times New Roman"/>
        </w:rPr>
        <w:t>Economy(</w:t>
      </w:r>
      <w:proofErr w:type="gramEnd"/>
      <w:r w:rsidRPr="00B161AF">
        <w:rPr>
          <w:rFonts w:ascii="Times New Roman" w:hAnsi="Times New Roman"/>
        </w:rPr>
        <w:t>DBIE)</w:t>
      </w:r>
    </w:p>
    <w:p w:rsidR="00B161AF" w:rsidRPr="00B161AF" w:rsidRDefault="00B161AF" w:rsidP="008655DC">
      <w:pPr>
        <w:spacing w:after="120" w:line="336" w:lineRule="auto"/>
        <w:ind w:firstLine="720"/>
        <w:jc w:val="both"/>
        <w:rPr>
          <w:rFonts w:ascii="Times New Roman" w:hAnsi="Times New Roman"/>
        </w:rPr>
      </w:pPr>
      <w:r w:rsidRPr="00B161AF">
        <w:rPr>
          <w:rFonts w:ascii="Times New Roman" w:hAnsi="Times New Roman"/>
        </w:rPr>
        <w:lastRenderedPageBreak/>
        <w:t xml:space="preserve">Moreover, when compared to the previous decade, there is an absolute increase in the arms imports from the year 2000 onwards. Modernisation in </w:t>
      </w:r>
      <w:proofErr w:type="spellStart"/>
      <w:r w:rsidRPr="00B161AF">
        <w:rPr>
          <w:rFonts w:ascii="Times New Roman" w:hAnsi="Times New Roman"/>
        </w:rPr>
        <w:t>defense</w:t>
      </w:r>
      <w:proofErr w:type="spellEnd"/>
      <w:r w:rsidRPr="00B161AF">
        <w:rPr>
          <w:rFonts w:ascii="Times New Roman" w:hAnsi="Times New Roman"/>
        </w:rPr>
        <w:t xml:space="preserve"> sector after </w:t>
      </w:r>
      <w:proofErr w:type="spellStart"/>
      <w:r w:rsidRPr="00B161AF">
        <w:rPr>
          <w:rFonts w:ascii="Times New Roman" w:hAnsi="Times New Roman"/>
        </w:rPr>
        <w:t>Kargil</w:t>
      </w:r>
      <w:proofErr w:type="spellEnd"/>
      <w:r w:rsidRPr="00B161AF">
        <w:rPr>
          <w:rFonts w:ascii="Times New Roman" w:hAnsi="Times New Roman"/>
        </w:rPr>
        <w:t xml:space="preserve"> War (Nair, 2009) could be one of the reasons for escalating the amount earmarked for arms import in the post-2000 period. </w:t>
      </w:r>
    </w:p>
    <w:p w:rsidR="00B161AF" w:rsidRPr="008655DC" w:rsidRDefault="00B161AF" w:rsidP="008655DC">
      <w:pPr>
        <w:spacing w:after="120" w:line="336" w:lineRule="auto"/>
        <w:jc w:val="both"/>
        <w:rPr>
          <w:rFonts w:ascii="Times New Roman" w:hAnsi="Times New Roman"/>
          <w:b/>
        </w:rPr>
      </w:pPr>
      <w:r w:rsidRPr="008655DC">
        <w:rPr>
          <w:rFonts w:ascii="Times New Roman" w:hAnsi="Times New Roman"/>
          <w:b/>
        </w:rPr>
        <w:t>Conclusion</w:t>
      </w:r>
    </w:p>
    <w:p w:rsidR="00B161AF" w:rsidRPr="00B161AF" w:rsidRDefault="00B161AF" w:rsidP="008655DC">
      <w:pPr>
        <w:spacing w:after="120" w:line="336" w:lineRule="auto"/>
        <w:jc w:val="both"/>
        <w:rPr>
          <w:rFonts w:ascii="Times New Roman" w:hAnsi="Times New Roman"/>
        </w:rPr>
      </w:pPr>
      <w:r w:rsidRPr="00B161AF">
        <w:rPr>
          <w:rFonts w:ascii="Times New Roman" w:hAnsi="Times New Roman"/>
        </w:rPr>
        <w:t xml:space="preserve">Worsening geo-political issues in the critical </w:t>
      </w:r>
      <w:proofErr w:type="spellStart"/>
      <w:r w:rsidRPr="00B161AF">
        <w:rPr>
          <w:rFonts w:ascii="Times New Roman" w:hAnsi="Times New Roman"/>
        </w:rPr>
        <w:t>neighboring</w:t>
      </w:r>
      <w:proofErr w:type="spellEnd"/>
      <w:r w:rsidRPr="00B161AF">
        <w:rPr>
          <w:rFonts w:ascii="Times New Roman" w:hAnsi="Times New Roman"/>
        </w:rPr>
        <w:t xml:space="preserve"> regions could be one among the many reasons why India has been increasingly hiring </w:t>
      </w:r>
      <w:proofErr w:type="spellStart"/>
      <w:r w:rsidRPr="00B161AF">
        <w:rPr>
          <w:rFonts w:ascii="Times New Roman" w:hAnsi="Times New Roman"/>
        </w:rPr>
        <w:t>defense</w:t>
      </w:r>
      <w:proofErr w:type="spellEnd"/>
      <w:r w:rsidRPr="00B161AF">
        <w:rPr>
          <w:rFonts w:ascii="Times New Roman" w:hAnsi="Times New Roman"/>
        </w:rPr>
        <w:t xml:space="preserve"> </w:t>
      </w:r>
      <w:proofErr w:type="spellStart"/>
      <w:r w:rsidRPr="00B161AF">
        <w:rPr>
          <w:rFonts w:ascii="Times New Roman" w:hAnsi="Times New Roman"/>
        </w:rPr>
        <w:t>equipments</w:t>
      </w:r>
      <w:proofErr w:type="spellEnd"/>
      <w:r w:rsidRPr="00B161AF">
        <w:rPr>
          <w:rFonts w:ascii="Times New Roman" w:hAnsi="Times New Roman"/>
        </w:rPr>
        <w:t xml:space="preserve"> to modernize her armed forces which subsequently position the country as the largest importer of arms in the world. Our analysis confirms that arms import has a fundamental impact on lifting India’s import payments that generates greater needs for foreign exchange. Paradoxically the effects of </w:t>
      </w:r>
      <w:proofErr w:type="spellStart"/>
      <w:r w:rsidRPr="00B161AF">
        <w:rPr>
          <w:rFonts w:ascii="Times New Roman" w:hAnsi="Times New Roman"/>
        </w:rPr>
        <w:t>defense</w:t>
      </w:r>
      <w:proofErr w:type="spellEnd"/>
      <w:r w:rsidRPr="00B161AF">
        <w:rPr>
          <w:rFonts w:ascii="Times New Roman" w:hAnsi="Times New Roman"/>
        </w:rPr>
        <w:t xml:space="preserve"> imports on external sector of India are neither discussed nor put to public scrutiny unlike the case of POL and gold imports. Non-availability of exact data may be the ascertaining constituent why not much heated discussions galore with regard to the import of </w:t>
      </w:r>
      <w:proofErr w:type="spellStart"/>
      <w:r w:rsidRPr="00B161AF">
        <w:rPr>
          <w:rFonts w:ascii="Times New Roman" w:hAnsi="Times New Roman"/>
        </w:rPr>
        <w:t>defense</w:t>
      </w:r>
      <w:proofErr w:type="spellEnd"/>
      <w:r w:rsidRPr="00B161AF">
        <w:rPr>
          <w:rFonts w:ascii="Times New Roman" w:hAnsi="Times New Roman"/>
        </w:rPr>
        <w:t xml:space="preserve"> equipment in connection with the external sector in contrast to the case of Petroleum, Oil and Lubricant (POL) and Gold imports.</w:t>
      </w:r>
    </w:p>
    <w:p w:rsidR="00B161AF" w:rsidRPr="008655DC" w:rsidRDefault="008655DC" w:rsidP="008655DC">
      <w:pPr>
        <w:spacing w:after="120" w:line="360" w:lineRule="auto"/>
        <w:jc w:val="both"/>
        <w:rPr>
          <w:rFonts w:ascii="Times New Roman" w:hAnsi="Times New Roman"/>
          <w:b/>
        </w:rPr>
      </w:pPr>
      <w:r w:rsidRPr="008655DC">
        <w:rPr>
          <w:rFonts w:ascii="Times New Roman" w:hAnsi="Times New Roman"/>
          <w:b/>
        </w:rPr>
        <w:t xml:space="preserve">Reference </w:t>
      </w:r>
    </w:p>
    <w:p w:rsidR="008655DC" w:rsidRDefault="00B161AF" w:rsidP="008655DC">
      <w:pPr>
        <w:spacing w:after="0" w:line="240" w:lineRule="auto"/>
        <w:ind w:left="720" w:hanging="720"/>
        <w:jc w:val="both"/>
        <w:rPr>
          <w:rFonts w:ascii="Times New Roman" w:hAnsi="Times New Roman"/>
        </w:rPr>
      </w:pPr>
      <w:r w:rsidRPr="00B161AF">
        <w:rPr>
          <w:rFonts w:ascii="Times New Roman" w:hAnsi="Times New Roman"/>
        </w:rPr>
        <w:t>Nair, P. (2009)</w:t>
      </w:r>
      <w:r w:rsidR="008655DC">
        <w:rPr>
          <w:rFonts w:ascii="Times New Roman" w:hAnsi="Times New Roman"/>
        </w:rPr>
        <w:t>:</w:t>
      </w:r>
      <w:r w:rsidRPr="00B161AF">
        <w:rPr>
          <w:rFonts w:ascii="Times New Roman" w:hAnsi="Times New Roman"/>
        </w:rPr>
        <w:t xml:space="preserve"> An Evaluation of India’s </w:t>
      </w:r>
      <w:proofErr w:type="spellStart"/>
      <w:r w:rsidRPr="00B161AF">
        <w:rPr>
          <w:rFonts w:ascii="Times New Roman" w:hAnsi="Times New Roman"/>
        </w:rPr>
        <w:t>Defense</w:t>
      </w:r>
      <w:proofErr w:type="spellEnd"/>
      <w:r w:rsidRPr="00B161AF">
        <w:rPr>
          <w:rFonts w:ascii="Times New Roman" w:hAnsi="Times New Roman"/>
        </w:rPr>
        <w:t xml:space="preserve"> Expenditure. Economic and Political Weekly, 44, (51), pp. 40-46.</w:t>
      </w:r>
    </w:p>
    <w:p w:rsidR="00B161AF" w:rsidRPr="00B161AF" w:rsidRDefault="00B161AF" w:rsidP="008655DC">
      <w:pPr>
        <w:spacing w:after="0" w:line="240" w:lineRule="auto"/>
        <w:ind w:left="720" w:hanging="720"/>
        <w:jc w:val="both"/>
        <w:rPr>
          <w:rFonts w:ascii="Times New Roman" w:hAnsi="Times New Roman"/>
        </w:rPr>
      </w:pPr>
      <w:r w:rsidRPr="00B161AF">
        <w:rPr>
          <w:rFonts w:ascii="Times New Roman" w:hAnsi="Times New Roman"/>
        </w:rPr>
        <w:t xml:space="preserve">Reserve Bank of India (1993): Report of High Level Committee on Balance of Payments (Chairman, Dr: </w:t>
      </w:r>
      <w:proofErr w:type="spellStart"/>
      <w:r w:rsidRPr="00B161AF">
        <w:rPr>
          <w:rFonts w:ascii="Times New Roman" w:hAnsi="Times New Roman"/>
        </w:rPr>
        <w:t>C.Rangarajan</w:t>
      </w:r>
      <w:proofErr w:type="spellEnd"/>
      <w:r w:rsidRPr="00B161AF">
        <w:rPr>
          <w:rFonts w:ascii="Times New Roman" w:hAnsi="Times New Roman"/>
        </w:rPr>
        <w:t>)</w:t>
      </w:r>
    </w:p>
    <w:p w:rsidR="00B161AF" w:rsidRPr="00B161AF" w:rsidRDefault="00B161AF" w:rsidP="008655DC">
      <w:pPr>
        <w:spacing w:after="0" w:line="240" w:lineRule="auto"/>
        <w:ind w:left="720" w:hanging="720"/>
        <w:jc w:val="both"/>
        <w:rPr>
          <w:rFonts w:ascii="Times New Roman" w:hAnsi="Times New Roman"/>
        </w:rPr>
      </w:pPr>
      <w:r w:rsidRPr="00B161AF">
        <w:rPr>
          <w:rFonts w:ascii="Times New Roman" w:hAnsi="Times New Roman"/>
        </w:rPr>
        <w:t>Reserve Bank of India, Database on Indian Economy</w:t>
      </w:r>
    </w:p>
    <w:p w:rsidR="00B161AF" w:rsidRPr="00B161AF" w:rsidRDefault="00B161AF" w:rsidP="008655DC">
      <w:pPr>
        <w:spacing w:after="0" w:line="240" w:lineRule="auto"/>
        <w:ind w:left="720" w:hanging="720"/>
        <w:jc w:val="both"/>
        <w:rPr>
          <w:rFonts w:ascii="Times New Roman" w:hAnsi="Times New Roman"/>
        </w:rPr>
      </w:pPr>
      <w:r w:rsidRPr="00B161AF">
        <w:rPr>
          <w:rFonts w:ascii="Times New Roman" w:hAnsi="Times New Roman"/>
        </w:rPr>
        <w:t>Stockholm International P</w:t>
      </w:r>
      <w:r w:rsidR="008655DC">
        <w:rPr>
          <w:rFonts w:ascii="Times New Roman" w:hAnsi="Times New Roman"/>
        </w:rPr>
        <w:t>eace Research Institute (SIPRI):</w:t>
      </w:r>
      <w:r w:rsidRPr="00B161AF">
        <w:rPr>
          <w:rFonts w:ascii="Times New Roman" w:hAnsi="Times New Roman"/>
        </w:rPr>
        <w:t xml:space="preserve"> Arms Transfers Database, Sweden</w:t>
      </w:r>
    </w:p>
    <w:p w:rsidR="000E4885" w:rsidRPr="0089232C" w:rsidRDefault="000E4885" w:rsidP="008655DC">
      <w:pPr>
        <w:spacing w:after="120" w:line="360" w:lineRule="auto"/>
        <w:jc w:val="both"/>
        <w:rPr>
          <w:rFonts w:ascii="Times New Roman" w:hAnsi="Times New Roman"/>
        </w:rPr>
      </w:pPr>
    </w:p>
    <w:sectPr w:rsidR="000E4885" w:rsidRPr="0089232C" w:rsidSect="009E41E8">
      <w:headerReference w:type="even" r:id="rId12"/>
      <w:headerReference w:type="default" r:id="rId13"/>
      <w:footerReference w:type="even" r:id="rId14"/>
      <w:footerReference w:type="default" r:id="rId15"/>
      <w:headerReference w:type="first" r:id="rId16"/>
      <w:footerReference w:type="first" r:id="rId17"/>
      <w:pgSz w:w="10080" w:h="13680" w:code="9"/>
      <w:pgMar w:top="1440" w:right="1440" w:bottom="1440" w:left="1440" w:header="720"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B8" w:rsidRDefault="00800EB8" w:rsidP="00470FC8">
      <w:pPr>
        <w:spacing w:after="0" w:line="240" w:lineRule="auto"/>
      </w:pPr>
      <w:r>
        <w:separator/>
      </w:r>
    </w:p>
  </w:endnote>
  <w:endnote w:type="continuationSeparator" w:id="0">
    <w:p w:rsidR="00800EB8" w:rsidRDefault="00800EB8"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647015">
      <w:trPr>
        <w:trHeight w:val="360"/>
      </w:trPr>
      <w:tc>
        <w:tcPr>
          <w:tcW w:w="1500" w:type="pct"/>
          <w:shd w:val="clear" w:color="auto" w:fill="8064A2" w:themeFill="accent4"/>
        </w:tcPr>
        <w:p w:rsidR="00647015" w:rsidRDefault="00647015">
          <w:pPr>
            <w:pStyle w:val="Footer"/>
            <w:rPr>
              <w:color w:val="FFFFFF" w:themeColor="background1"/>
            </w:rPr>
          </w:pPr>
          <w:r>
            <w:fldChar w:fldCharType="begin"/>
          </w:r>
          <w:r>
            <w:instrText xml:space="preserve"> PAGE   \* MERGEFORMAT </w:instrText>
          </w:r>
          <w:r>
            <w:fldChar w:fldCharType="separate"/>
          </w:r>
          <w:r w:rsidR="00EF31F0" w:rsidRPr="00EF31F0">
            <w:rPr>
              <w:noProof/>
              <w:color w:val="FFFFFF" w:themeColor="background1"/>
            </w:rPr>
            <w:t>90</w:t>
          </w:r>
          <w:r>
            <w:rPr>
              <w:noProof/>
              <w:color w:val="FFFFFF" w:themeColor="background1"/>
            </w:rPr>
            <w:fldChar w:fldCharType="end"/>
          </w:r>
        </w:p>
      </w:tc>
      <w:tc>
        <w:tcPr>
          <w:tcW w:w="3500" w:type="pct"/>
        </w:tcPr>
        <w:p w:rsidR="00647015" w:rsidRDefault="00647015">
          <w:pPr>
            <w:pStyle w:val="Footer"/>
          </w:pPr>
        </w:p>
      </w:tc>
    </w:tr>
  </w:tbl>
  <w:p w:rsidR="007F3C67" w:rsidRDefault="007F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7F43C6">
      <w:trPr>
        <w:trHeight w:val="360"/>
      </w:trPr>
      <w:tc>
        <w:tcPr>
          <w:tcW w:w="3500" w:type="pct"/>
        </w:tcPr>
        <w:p w:rsidR="007F43C6" w:rsidRDefault="007F43C6">
          <w:pPr>
            <w:pStyle w:val="Footer"/>
            <w:jc w:val="right"/>
          </w:pPr>
        </w:p>
      </w:tc>
      <w:tc>
        <w:tcPr>
          <w:tcW w:w="1500" w:type="pct"/>
          <w:shd w:val="clear" w:color="auto" w:fill="8064A2" w:themeFill="accent4"/>
        </w:tcPr>
        <w:p w:rsidR="007F43C6" w:rsidRDefault="007F43C6">
          <w:pPr>
            <w:pStyle w:val="Footer"/>
            <w:jc w:val="right"/>
            <w:rPr>
              <w:color w:val="FFFFFF" w:themeColor="background1"/>
            </w:rPr>
          </w:pPr>
          <w:r>
            <w:fldChar w:fldCharType="begin"/>
          </w:r>
          <w:r>
            <w:instrText xml:space="preserve"> PAGE    \* MERGEFORMAT </w:instrText>
          </w:r>
          <w:r>
            <w:fldChar w:fldCharType="separate"/>
          </w:r>
          <w:r w:rsidR="00EF31F0" w:rsidRPr="00EF31F0">
            <w:rPr>
              <w:noProof/>
              <w:color w:val="FFFFFF" w:themeColor="background1"/>
            </w:rPr>
            <w:t>89</w:t>
          </w:r>
          <w:r>
            <w:rPr>
              <w:noProof/>
              <w:color w:val="FFFFFF" w:themeColor="background1"/>
            </w:rPr>
            <w:fldChar w:fldCharType="end"/>
          </w:r>
        </w:p>
      </w:tc>
    </w:tr>
  </w:tbl>
  <w:p w:rsidR="007F3C67" w:rsidRDefault="007F3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647015">
      <w:trPr>
        <w:trHeight w:val="360"/>
      </w:trPr>
      <w:tc>
        <w:tcPr>
          <w:tcW w:w="3500" w:type="pct"/>
        </w:tcPr>
        <w:p w:rsidR="00647015" w:rsidRDefault="00647015">
          <w:pPr>
            <w:pStyle w:val="Footer"/>
            <w:jc w:val="right"/>
          </w:pPr>
        </w:p>
      </w:tc>
      <w:tc>
        <w:tcPr>
          <w:tcW w:w="1500" w:type="pct"/>
          <w:shd w:val="clear" w:color="auto" w:fill="8064A2" w:themeFill="accent4"/>
        </w:tcPr>
        <w:p w:rsidR="00647015" w:rsidRDefault="00647015">
          <w:pPr>
            <w:pStyle w:val="Footer"/>
            <w:jc w:val="right"/>
            <w:rPr>
              <w:color w:val="FFFFFF" w:themeColor="background1"/>
            </w:rPr>
          </w:pPr>
          <w:r>
            <w:fldChar w:fldCharType="begin"/>
          </w:r>
          <w:r>
            <w:instrText xml:space="preserve"> PAGE    \* MERGEFORMAT </w:instrText>
          </w:r>
          <w:r>
            <w:fldChar w:fldCharType="separate"/>
          </w:r>
          <w:r w:rsidR="00EF31F0" w:rsidRPr="00EF31F0">
            <w:rPr>
              <w:noProof/>
              <w:color w:val="FFFFFF" w:themeColor="background1"/>
            </w:rPr>
            <w:t>85</w:t>
          </w:r>
          <w:r>
            <w:rPr>
              <w:noProof/>
              <w:color w:val="FFFFFF" w:themeColor="background1"/>
            </w:rPr>
            <w:fldChar w:fldCharType="end"/>
          </w:r>
        </w:p>
      </w:tc>
    </w:tr>
  </w:tbl>
  <w:p w:rsidR="007F3C67" w:rsidRDefault="007F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B8" w:rsidRDefault="00800EB8" w:rsidP="00470FC8">
      <w:pPr>
        <w:spacing w:after="0" w:line="240" w:lineRule="auto"/>
      </w:pPr>
      <w:r>
        <w:separator/>
      </w:r>
    </w:p>
  </w:footnote>
  <w:footnote w:type="continuationSeparator" w:id="0">
    <w:p w:rsidR="00800EB8" w:rsidRDefault="00800EB8"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7F43C6" w:rsidRDefault="00B161AF">
    <w:pPr>
      <w:pStyle w:val="Header"/>
      <w:rPr>
        <w:rFonts w:asciiTheme="minorHAnsi" w:hAnsiTheme="minorHAnsi" w:cs="Times New Roman"/>
        <w:i/>
      </w:rPr>
    </w:pPr>
    <w:r>
      <w:rPr>
        <w:rFonts w:asciiTheme="minorHAnsi" w:hAnsiTheme="minorHAnsi" w:cs="Times New Roman"/>
        <w:i/>
      </w:rPr>
      <w:t xml:space="preserve">Prof. Justine and Prof. </w:t>
    </w:r>
    <w:proofErr w:type="spellStart"/>
    <w:r>
      <w:rPr>
        <w:rFonts w:asciiTheme="minorHAnsi" w:hAnsiTheme="minorHAnsi" w:cs="Times New Roman"/>
        <w:i/>
      </w:rPr>
      <w:t>Alphonsa</w:t>
    </w:r>
    <w:proofErr w:type="spellEnd"/>
    <w:r w:rsidR="00647015" w:rsidRPr="007F43C6">
      <w:rPr>
        <w:rFonts w:asciiTheme="minorHAnsi" w:hAnsiTheme="minorHAnsi" w:cs="Times New Roman"/>
        <w:i/>
      </w:rPr>
      <w:ptab w:relativeTo="margin" w:alignment="right" w:leader="none"/>
    </w:r>
    <w:r w:rsidR="00647015" w:rsidRPr="007F43C6">
      <w:rPr>
        <w:rFonts w:asciiTheme="minorHAnsi" w:hAnsiTheme="minorHAnsi" w:cs="Times New Roman"/>
        <w:i/>
      </w:rPr>
      <w:t xml:space="preserve"> </w:t>
    </w:r>
    <w:proofErr w:type="spellStart"/>
    <w:r>
      <w:rPr>
        <w:rFonts w:asciiTheme="minorHAnsi" w:hAnsiTheme="minorHAnsi" w:cs="Times New Roman"/>
        <w:i/>
      </w:rPr>
      <w:t>Defen</w:t>
    </w:r>
    <w:r w:rsidR="008655DC">
      <w:rPr>
        <w:rFonts w:asciiTheme="minorHAnsi" w:hAnsiTheme="minorHAnsi" w:cs="Times New Roman"/>
        <w:i/>
      </w:rPr>
      <w:t>s</w:t>
    </w:r>
    <w:r>
      <w:rPr>
        <w:rFonts w:asciiTheme="minorHAnsi" w:hAnsiTheme="minorHAnsi" w:cs="Times New Roman"/>
        <w:i/>
      </w:rPr>
      <w:t>e</w:t>
    </w:r>
    <w:proofErr w:type="spellEnd"/>
    <w:r>
      <w:rPr>
        <w:rFonts w:asciiTheme="minorHAnsi" w:hAnsiTheme="minorHAnsi" w:cs="Times New Roman"/>
        <w:i/>
      </w:rPr>
      <w:t xml:space="preserve"> Import</w:t>
    </w:r>
    <w:r w:rsidRPr="007F43C6">
      <w:rPr>
        <w:rFonts w:asciiTheme="minorHAnsi" w:hAnsiTheme="minorHAnsi" w:cs="Times New Roman"/>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7F43C6" w:rsidRDefault="007F43C6">
    <w:pPr>
      <w:pStyle w:val="Header"/>
      <w:rPr>
        <w:i/>
      </w:rPr>
    </w:pPr>
    <w:r w:rsidRPr="007F43C6">
      <w:rPr>
        <w:i/>
      </w:rPr>
      <w:t>The Pauline Journal of Social Science</w:t>
    </w:r>
    <w:r w:rsidRPr="007F43C6">
      <w:rPr>
        <w:i/>
      </w:rPr>
      <w:ptab w:relativeTo="margin" w:alignment="right" w:leader="none"/>
    </w:r>
    <w:r w:rsidRPr="007F43C6">
      <w:rPr>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C67" w:rsidRPr="00647015" w:rsidRDefault="00647015" w:rsidP="00470FC8">
    <w:pPr>
      <w:pStyle w:val="Header"/>
      <w:jc w:val="right"/>
      <w:rPr>
        <w:rFonts w:asciiTheme="minorHAnsi" w:hAnsiTheme="minorHAnsi" w:cs="Times New Roman"/>
        <w:i/>
      </w:rPr>
    </w:pPr>
    <w:r w:rsidRPr="00647015">
      <w:rPr>
        <w:rFonts w:asciiTheme="minorHAnsi" w:hAnsiTheme="minorHAnsi" w:cs="Times New Roman"/>
        <w:i/>
      </w:rPr>
      <w:t>The Pauline Journal of Social Science</w:t>
    </w:r>
    <w:r w:rsidRPr="00647015">
      <w:rPr>
        <w:rFonts w:asciiTheme="minorHAnsi" w:hAnsiTheme="minorHAnsi" w:cs="Times New Roman"/>
        <w:i/>
      </w:rPr>
      <w:ptab w:relativeTo="margin" w:alignment="right" w:leader="none"/>
    </w:r>
    <w:r w:rsidRPr="00647015">
      <w:rPr>
        <w:rFonts w:asciiTheme="minorHAnsi" w:hAnsiTheme="minorHAnsi"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2">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3">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4">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5C"/>
    <w:rsid w:val="00027409"/>
    <w:rsid w:val="00074FCA"/>
    <w:rsid w:val="00077804"/>
    <w:rsid w:val="00084A92"/>
    <w:rsid w:val="00094AE1"/>
    <w:rsid w:val="000A5002"/>
    <w:rsid w:val="000C6812"/>
    <w:rsid w:val="000D10E3"/>
    <w:rsid w:val="000E4885"/>
    <w:rsid w:val="000F3E16"/>
    <w:rsid w:val="00127505"/>
    <w:rsid w:val="00147F35"/>
    <w:rsid w:val="00162EEC"/>
    <w:rsid w:val="001653F2"/>
    <w:rsid w:val="0016766B"/>
    <w:rsid w:val="001A5151"/>
    <w:rsid w:val="001E621D"/>
    <w:rsid w:val="00223E8B"/>
    <w:rsid w:val="0023527E"/>
    <w:rsid w:val="00244421"/>
    <w:rsid w:val="00273A53"/>
    <w:rsid w:val="00281BF6"/>
    <w:rsid w:val="002911D2"/>
    <w:rsid w:val="002B5AB5"/>
    <w:rsid w:val="002C5822"/>
    <w:rsid w:val="002D500A"/>
    <w:rsid w:val="003040F8"/>
    <w:rsid w:val="00330221"/>
    <w:rsid w:val="00332378"/>
    <w:rsid w:val="00334377"/>
    <w:rsid w:val="003A5A78"/>
    <w:rsid w:val="003D7D8C"/>
    <w:rsid w:val="003F4C1F"/>
    <w:rsid w:val="00405AEA"/>
    <w:rsid w:val="00420C7A"/>
    <w:rsid w:val="00431827"/>
    <w:rsid w:val="0044636F"/>
    <w:rsid w:val="004511AB"/>
    <w:rsid w:val="00462194"/>
    <w:rsid w:val="00470FC8"/>
    <w:rsid w:val="004821E6"/>
    <w:rsid w:val="00482DDB"/>
    <w:rsid w:val="004A7140"/>
    <w:rsid w:val="004B536A"/>
    <w:rsid w:val="004C40C4"/>
    <w:rsid w:val="004C7F44"/>
    <w:rsid w:val="004D16F8"/>
    <w:rsid w:val="004E288C"/>
    <w:rsid w:val="004E73E8"/>
    <w:rsid w:val="004F1223"/>
    <w:rsid w:val="00500964"/>
    <w:rsid w:val="00532029"/>
    <w:rsid w:val="00532D85"/>
    <w:rsid w:val="00542884"/>
    <w:rsid w:val="00553AD3"/>
    <w:rsid w:val="005A06C5"/>
    <w:rsid w:val="005A1704"/>
    <w:rsid w:val="005A57E4"/>
    <w:rsid w:val="005B1567"/>
    <w:rsid w:val="005C4E67"/>
    <w:rsid w:val="005D3AC4"/>
    <w:rsid w:val="005D4AC5"/>
    <w:rsid w:val="005F0754"/>
    <w:rsid w:val="00601135"/>
    <w:rsid w:val="00603486"/>
    <w:rsid w:val="006065CE"/>
    <w:rsid w:val="0064493E"/>
    <w:rsid w:val="00647015"/>
    <w:rsid w:val="006475F4"/>
    <w:rsid w:val="00676698"/>
    <w:rsid w:val="00693246"/>
    <w:rsid w:val="006D7DAD"/>
    <w:rsid w:val="00725CEB"/>
    <w:rsid w:val="00744ECF"/>
    <w:rsid w:val="00785F04"/>
    <w:rsid w:val="007934F8"/>
    <w:rsid w:val="00795A9A"/>
    <w:rsid w:val="007B0BF2"/>
    <w:rsid w:val="007F3C67"/>
    <w:rsid w:val="007F43C6"/>
    <w:rsid w:val="00800EB8"/>
    <w:rsid w:val="0081417D"/>
    <w:rsid w:val="00817421"/>
    <w:rsid w:val="00823E0C"/>
    <w:rsid w:val="00863969"/>
    <w:rsid w:val="008655DC"/>
    <w:rsid w:val="00867A12"/>
    <w:rsid w:val="0089232C"/>
    <w:rsid w:val="008B6BA8"/>
    <w:rsid w:val="008C04CA"/>
    <w:rsid w:val="008D1670"/>
    <w:rsid w:val="00914B09"/>
    <w:rsid w:val="009A4EA0"/>
    <w:rsid w:val="009E41E8"/>
    <w:rsid w:val="00A13FF0"/>
    <w:rsid w:val="00A343F4"/>
    <w:rsid w:val="00A524A4"/>
    <w:rsid w:val="00A553CC"/>
    <w:rsid w:val="00A61480"/>
    <w:rsid w:val="00A75E0C"/>
    <w:rsid w:val="00A9555E"/>
    <w:rsid w:val="00AC0920"/>
    <w:rsid w:val="00AF31C3"/>
    <w:rsid w:val="00B0528A"/>
    <w:rsid w:val="00B06BB8"/>
    <w:rsid w:val="00B161AF"/>
    <w:rsid w:val="00B27C84"/>
    <w:rsid w:val="00B5216A"/>
    <w:rsid w:val="00B556FF"/>
    <w:rsid w:val="00B86489"/>
    <w:rsid w:val="00BA1774"/>
    <w:rsid w:val="00BA48D3"/>
    <w:rsid w:val="00BD6DB1"/>
    <w:rsid w:val="00C059D7"/>
    <w:rsid w:val="00C13ABA"/>
    <w:rsid w:val="00C32DF6"/>
    <w:rsid w:val="00C6615F"/>
    <w:rsid w:val="00C76CE6"/>
    <w:rsid w:val="00C82E66"/>
    <w:rsid w:val="00CE5C22"/>
    <w:rsid w:val="00D31C7F"/>
    <w:rsid w:val="00D31E63"/>
    <w:rsid w:val="00D327EC"/>
    <w:rsid w:val="00D430C4"/>
    <w:rsid w:val="00D445BF"/>
    <w:rsid w:val="00D52673"/>
    <w:rsid w:val="00DB2CF0"/>
    <w:rsid w:val="00DB51BA"/>
    <w:rsid w:val="00DC7D6C"/>
    <w:rsid w:val="00DE0FE3"/>
    <w:rsid w:val="00E02BF8"/>
    <w:rsid w:val="00E11E1E"/>
    <w:rsid w:val="00E54E13"/>
    <w:rsid w:val="00E645FA"/>
    <w:rsid w:val="00EB5A70"/>
    <w:rsid w:val="00ED313E"/>
    <w:rsid w:val="00ED386D"/>
    <w:rsid w:val="00ED6252"/>
    <w:rsid w:val="00EF31F0"/>
    <w:rsid w:val="00EF58BD"/>
    <w:rsid w:val="00F039EC"/>
    <w:rsid w:val="00F03BE6"/>
    <w:rsid w:val="00F03E0B"/>
    <w:rsid w:val="00F11132"/>
    <w:rsid w:val="00F41570"/>
    <w:rsid w:val="00F6096E"/>
    <w:rsid w:val="00F8405C"/>
    <w:rsid w:val="00F934EA"/>
    <w:rsid w:val="00FA3418"/>
    <w:rsid w:val="00FC24B6"/>
    <w:rsid w:val="00FD3AB6"/>
    <w:rsid w:val="00FD4244"/>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styleId="Emphasis">
    <w:name w:val="Emphasis"/>
    <w:basedOn w:val="DefaultParagraphFont"/>
    <w:qFormat/>
    <w:rsid w:val="00D430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iPriority w:val="99"/>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styleId="Emphasis">
    <w:name w:val="Emphasis"/>
    <w:basedOn w:val="DefaultParagraphFont"/>
    <w:qFormat/>
    <w:rsid w:val="00D43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OME\Desktop\desktop%204%2026%202015\article%20arms\arms.xlsx!Sheet1!Object%20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OME\Desktop\desktop%204%2026%202015\article%20arms\arm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OME\Desktop\desktop%204%2026%202015\article%20arms\arm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7729658792702"/>
          <c:y val="0.19480351414406535"/>
          <c:w val="0.78459492563429567"/>
          <c:h val="0.566512102653835"/>
        </c:manualLayout>
      </c:layout>
      <c:lineChart>
        <c:grouping val="standard"/>
        <c:varyColors val="0"/>
        <c:ser>
          <c:idx val="0"/>
          <c:order val="0"/>
          <c:tx>
            <c:strRef>
              <c:f>'[Worksheet in arms]TIV-Import-Top-50-1990-2014'!$D$25</c:f>
              <c:strCache>
                <c:ptCount val="1"/>
                <c:pt idx="0">
                  <c:v>Arms Import by India</c:v>
                </c:pt>
              </c:strCache>
            </c:strRef>
          </c:tx>
          <c:spPr>
            <a:ln>
              <a:solidFill>
                <a:schemeClr val="tx1"/>
              </a:solidFill>
              <a:prstDash val="sysDash"/>
            </a:ln>
          </c:spPr>
          <c:marker>
            <c:symbol val="circle"/>
            <c:size val="2"/>
            <c:spPr>
              <a:solidFill>
                <a:schemeClr val="tx1"/>
              </a:solidFill>
              <a:ln>
                <a:solidFill>
                  <a:schemeClr val="tx1"/>
                </a:solidFill>
              </a:ln>
            </c:spPr>
          </c:marker>
          <c:cat>
            <c:numRef>
              <c:f>'[Worksheet in arms]TIV-Import-Top-50-1990-2014'!$C$26:$C$50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'[Worksheet in arms]TIV-Import-Top-50-1990-2014'!$D$26:$D$50</c:f>
              <c:numCache>
                <c:formatCode>General</c:formatCode>
                <c:ptCount val="25"/>
                <c:pt idx="0">
                  <c:v>2724</c:v>
                </c:pt>
                <c:pt idx="1">
                  <c:v>1897</c:v>
                </c:pt>
                <c:pt idx="2">
                  <c:v>1207</c:v>
                </c:pt>
                <c:pt idx="3">
                  <c:v>732</c:v>
                </c:pt>
                <c:pt idx="4">
                  <c:v>883</c:v>
                </c:pt>
                <c:pt idx="5">
                  <c:v>1479</c:v>
                </c:pt>
                <c:pt idx="6">
                  <c:v>902</c:v>
                </c:pt>
                <c:pt idx="7">
                  <c:v>1706</c:v>
                </c:pt>
                <c:pt idx="8">
                  <c:v>798</c:v>
                </c:pt>
                <c:pt idx="9">
                  <c:v>1216</c:v>
                </c:pt>
                <c:pt idx="10">
                  <c:v>982</c:v>
                </c:pt>
                <c:pt idx="11">
                  <c:v>1309</c:v>
                </c:pt>
                <c:pt idx="12">
                  <c:v>1921</c:v>
                </c:pt>
                <c:pt idx="13">
                  <c:v>2888</c:v>
                </c:pt>
                <c:pt idx="14">
                  <c:v>2180</c:v>
                </c:pt>
                <c:pt idx="15">
                  <c:v>1161</c:v>
                </c:pt>
                <c:pt idx="16">
                  <c:v>1470</c:v>
                </c:pt>
                <c:pt idx="17">
                  <c:v>2297</c:v>
                </c:pt>
                <c:pt idx="18">
                  <c:v>1867</c:v>
                </c:pt>
                <c:pt idx="19">
                  <c:v>1986</c:v>
                </c:pt>
                <c:pt idx="20">
                  <c:v>2955</c:v>
                </c:pt>
                <c:pt idx="21">
                  <c:v>3682</c:v>
                </c:pt>
                <c:pt idx="22">
                  <c:v>4591</c:v>
                </c:pt>
                <c:pt idx="23">
                  <c:v>5566</c:v>
                </c:pt>
                <c:pt idx="24">
                  <c:v>4243</c:v>
                </c:pt>
              </c:numCache>
            </c:numRef>
          </c:val>
          <c:smooth val="0"/>
        </c:ser>
        <c:dLbls>
          <c:showLegendKey val="0"/>
          <c:showVal val="0"/>
          <c:showCatName val="0"/>
          <c:showSerName val="0"/>
          <c:showPercent val="0"/>
          <c:showBubbleSize val="0"/>
        </c:dLbls>
        <c:marker val="1"/>
        <c:smooth val="0"/>
        <c:axId val="159963392"/>
        <c:axId val="162081024"/>
      </c:lineChart>
      <c:catAx>
        <c:axId val="159963392"/>
        <c:scaling>
          <c:orientation val="minMax"/>
        </c:scaling>
        <c:delete val="0"/>
        <c:axPos val="b"/>
        <c:numFmt formatCode="General" sourceLinked="1"/>
        <c:majorTickMark val="out"/>
        <c:minorTickMark val="none"/>
        <c:tickLblPos val="nextTo"/>
        <c:txPr>
          <a:bodyPr rot="-5400000" vert="horz"/>
          <a:lstStyle/>
          <a:p>
            <a:pPr>
              <a:defRPr b="1"/>
            </a:pPr>
            <a:endParaRPr lang="en-US"/>
          </a:p>
        </c:txPr>
        <c:crossAx val="162081024"/>
        <c:crosses val="autoZero"/>
        <c:auto val="1"/>
        <c:lblAlgn val="ctr"/>
        <c:lblOffset val="100"/>
        <c:noMultiLvlLbl val="0"/>
      </c:catAx>
      <c:valAx>
        <c:axId val="162081024"/>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59963392"/>
        <c:crosses val="autoZero"/>
        <c:crossBetween val="between"/>
      </c:valAx>
    </c:plotArea>
    <c:legend>
      <c:legendPos val="r"/>
      <c:layout>
        <c:manualLayout>
          <c:xMode val="edge"/>
          <c:yMode val="edge"/>
          <c:x val="0.24447222222222256"/>
          <c:y val="0.91410214348206331"/>
          <c:w val="0.47061111111111109"/>
          <c:h val="6.7379337999416922E-2"/>
        </c:manualLayout>
      </c:layout>
      <c:overlay val="0"/>
      <c:txPr>
        <a:bodyPr/>
        <a:lstStyle/>
        <a:p>
          <a:pPr>
            <a:defRPr b="1"/>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43371465359283"/>
          <c:y val="6.7032442862450428E-2"/>
          <c:w val="0.78284083593324416"/>
          <c:h val="0.52872685434868583"/>
        </c:manualLayout>
      </c:layout>
      <c:barChart>
        <c:barDir val="col"/>
        <c:grouping val="clustered"/>
        <c:varyColors val="0"/>
        <c:ser>
          <c:idx val="0"/>
          <c:order val="0"/>
          <c:tx>
            <c:strRef>
              <c:f>Sheet2!$AJ$4</c:f>
              <c:strCache>
                <c:ptCount val="1"/>
                <c:pt idx="0">
                  <c:v>1990-2014</c:v>
                </c:pt>
              </c:strCache>
            </c:strRef>
          </c:tx>
          <c:spPr>
            <a:solidFill>
              <a:schemeClr val="tx1"/>
            </a:solidFill>
          </c:spPr>
          <c:invertIfNegative val="0"/>
          <c:cat>
            <c:strRef>
              <c:f>Sheet2!$AI$5:$AI$14</c:f>
              <c:strCache>
                <c:ptCount val="10"/>
                <c:pt idx="0">
                  <c:v>India</c:v>
                </c:pt>
                <c:pt idx="1">
                  <c:v>China</c:v>
                </c:pt>
                <c:pt idx="2">
                  <c:v>Turkey</c:v>
                </c:pt>
                <c:pt idx="3">
                  <c:v>South Korea</c:v>
                </c:pt>
                <c:pt idx="4">
                  <c:v>Saudi Arabia</c:v>
                </c:pt>
                <c:pt idx="5">
                  <c:v>Japan</c:v>
                </c:pt>
                <c:pt idx="6">
                  <c:v>Taiwan (ROC)</c:v>
                </c:pt>
                <c:pt idx="7">
                  <c:v>Greece</c:v>
                </c:pt>
                <c:pt idx="8">
                  <c:v>UAE</c:v>
                </c:pt>
                <c:pt idx="9">
                  <c:v>Egypt</c:v>
                </c:pt>
              </c:strCache>
            </c:strRef>
          </c:cat>
          <c:val>
            <c:numRef>
              <c:f>Sheet2!$AJ$5:$AJ$14</c:f>
              <c:numCache>
                <c:formatCode>General</c:formatCode>
                <c:ptCount val="10"/>
                <c:pt idx="0">
                  <c:v>52641</c:v>
                </c:pt>
                <c:pt idx="1">
                  <c:v>40582</c:v>
                </c:pt>
                <c:pt idx="2">
                  <c:v>29258</c:v>
                </c:pt>
                <c:pt idx="3">
                  <c:v>29025</c:v>
                </c:pt>
                <c:pt idx="4">
                  <c:v>28317</c:v>
                </c:pt>
                <c:pt idx="5">
                  <c:v>23444</c:v>
                </c:pt>
                <c:pt idx="6">
                  <c:v>22037</c:v>
                </c:pt>
                <c:pt idx="7">
                  <c:v>21433</c:v>
                </c:pt>
                <c:pt idx="8">
                  <c:v>20084</c:v>
                </c:pt>
                <c:pt idx="9">
                  <c:v>19284</c:v>
                </c:pt>
              </c:numCache>
            </c:numRef>
          </c:val>
        </c:ser>
        <c:ser>
          <c:idx val="1"/>
          <c:order val="1"/>
          <c:tx>
            <c:strRef>
              <c:f>Sheet2!$AK$4</c:f>
              <c:strCache>
                <c:ptCount val="1"/>
                <c:pt idx="0">
                  <c:v>1990-2002</c:v>
                </c:pt>
              </c:strCache>
            </c:strRef>
          </c:tx>
          <c:spPr>
            <a:solidFill>
              <a:srgbClr val="FF0000"/>
            </a:solidFill>
          </c:spPr>
          <c:invertIfNegative val="0"/>
          <c:cat>
            <c:strRef>
              <c:f>Sheet2!$AI$5:$AI$14</c:f>
              <c:strCache>
                <c:ptCount val="10"/>
                <c:pt idx="0">
                  <c:v>India</c:v>
                </c:pt>
                <c:pt idx="1">
                  <c:v>China</c:v>
                </c:pt>
                <c:pt idx="2">
                  <c:v>Turkey</c:v>
                </c:pt>
                <c:pt idx="3">
                  <c:v>South Korea</c:v>
                </c:pt>
                <c:pt idx="4">
                  <c:v>Saudi Arabia</c:v>
                </c:pt>
                <c:pt idx="5">
                  <c:v>Japan</c:v>
                </c:pt>
                <c:pt idx="6">
                  <c:v>Taiwan (ROC)</c:v>
                </c:pt>
                <c:pt idx="7">
                  <c:v>Greece</c:v>
                </c:pt>
                <c:pt idx="8">
                  <c:v>UAE</c:v>
                </c:pt>
                <c:pt idx="9">
                  <c:v>Egypt</c:v>
                </c:pt>
              </c:strCache>
            </c:strRef>
          </c:cat>
          <c:val>
            <c:numRef>
              <c:f>Sheet2!$AK$5:$AK$14</c:f>
              <c:numCache>
                <c:formatCode>General</c:formatCode>
                <c:ptCount val="10"/>
                <c:pt idx="0">
                  <c:v>17756</c:v>
                </c:pt>
                <c:pt idx="1">
                  <c:v>16764</c:v>
                </c:pt>
                <c:pt idx="2">
                  <c:v>20104</c:v>
                </c:pt>
                <c:pt idx="3">
                  <c:v>15916</c:v>
                </c:pt>
                <c:pt idx="4">
                  <c:v>18361</c:v>
                </c:pt>
                <c:pt idx="5">
                  <c:v>18142</c:v>
                </c:pt>
                <c:pt idx="6">
                  <c:v>17973</c:v>
                </c:pt>
                <c:pt idx="7">
                  <c:v>12183</c:v>
                </c:pt>
                <c:pt idx="8">
                  <c:v>5585</c:v>
                </c:pt>
                <c:pt idx="9">
                  <c:v>12846</c:v>
                </c:pt>
              </c:numCache>
            </c:numRef>
          </c:val>
        </c:ser>
        <c:ser>
          <c:idx val="2"/>
          <c:order val="2"/>
          <c:tx>
            <c:strRef>
              <c:f>Sheet2!$AL$4</c:f>
              <c:strCache>
                <c:ptCount val="1"/>
                <c:pt idx="0">
                  <c:v>2003-2014</c:v>
                </c:pt>
              </c:strCache>
            </c:strRef>
          </c:tx>
          <c:spPr>
            <a:solidFill>
              <a:schemeClr val="tx2">
                <a:lumMod val="40000"/>
                <a:lumOff val="60000"/>
              </a:schemeClr>
            </a:solidFill>
          </c:spPr>
          <c:invertIfNegative val="0"/>
          <c:cat>
            <c:strRef>
              <c:f>Sheet2!$AI$5:$AI$14</c:f>
              <c:strCache>
                <c:ptCount val="10"/>
                <c:pt idx="0">
                  <c:v>India</c:v>
                </c:pt>
                <c:pt idx="1">
                  <c:v>China</c:v>
                </c:pt>
                <c:pt idx="2">
                  <c:v>Turkey</c:v>
                </c:pt>
                <c:pt idx="3">
                  <c:v>South Korea</c:v>
                </c:pt>
                <c:pt idx="4">
                  <c:v>Saudi Arabia</c:v>
                </c:pt>
                <c:pt idx="5">
                  <c:v>Japan</c:v>
                </c:pt>
                <c:pt idx="6">
                  <c:v>Taiwan (ROC)</c:v>
                </c:pt>
                <c:pt idx="7">
                  <c:v>Greece</c:v>
                </c:pt>
                <c:pt idx="8">
                  <c:v>UAE</c:v>
                </c:pt>
                <c:pt idx="9">
                  <c:v>Egypt</c:v>
                </c:pt>
              </c:strCache>
            </c:strRef>
          </c:cat>
          <c:val>
            <c:numRef>
              <c:f>Sheet2!$AL$5:$AL$14</c:f>
              <c:numCache>
                <c:formatCode>General</c:formatCode>
                <c:ptCount val="10"/>
                <c:pt idx="0">
                  <c:v>34886</c:v>
                </c:pt>
                <c:pt idx="1">
                  <c:v>23818</c:v>
                </c:pt>
                <c:pt idx="2">
                  <c:v>9154</c:v>
                </c:pt>
                <c:pt idx="3">
                  <c:v>13109</c:v>
                </c:pt>
                <c:pt idx="4">
                  <c:v>9959</c:v>
                </c:pt>
                <c:pt idx="5">
                  <c:v>5301</c:v>
                </c:pt>
                <c:pt idx="6">
                  <c:v>4065</c:v>
                </c:pt>
                <c:pt idx="7">
                  <c:v>9251</c:v>
                </c:pt>
                <c:pt idx="8">
                  <c:v>14502</c:v>
                </c:pt>
                <c:pt idx="9">
                  <c:v>6439</c:v>
                </c:pt>
              </c:numCache>
            </c:numRef>
          </c:val>
        </c:ser>
        <c:dLbls>
          <c:showLegendKey val="0"/>
          <c:showVal val="0"/>
          <c:showCatName val="0"/>
          <c:showSerName val="0"/>
          <c:showPercent val="0"/>
          <c:showBubbleSize val="0"/>
        </c:dLbls>
        <c:gapWidth val="75"/>
        <c:overlap val="-25"/>
        <c:axId val="162084352"/>
        <c:axId val="162085888"/>
      </c:barChart>
      <c:catAx>
        <c:axId val="162084352"/>
        <c:scaling>
          <c:orientation val="minMax"/>
        </c:scaling>
        <c:delete val="0"/>
        <c:axPos val="b"/>
        <c:majorTickMark val="none"/>
        <c:minorTickMark val="none"/>
        <c:tickLblPos val="nextTo"/>
        <c:txPr>
          <a:bodyPr/>
          <a:lstStyle/>
          <a:p>
            <a:pPr>
              <a:defRPr sz="800" b="1">
                <a:latin typeface="Times New Roman" pitchFamily="18" charset="0"/>
                <a:cs typeface="Times New Roman" pitchFamily="18" charset="0"/>
              </a:defRPr>
            </a:pPr>
            <a:endParaRPr lang="en-US"/>
          </a:p>
        </c:txPr>
        <c:crossAx val="162085888"/>
        <c:crosses val="autoZero"/>
        <c:auto val="1"/>
        <c:lblAlgn val="ctr"/>
        <c:lblOffset val="100"/>
        <c:noMultiLvlLbl val="0"/>
      </c:catAx>
      <c:valAx>
        <c:axId val="162085888"/>
        <c:scaling>
          <c:orientation val="minMax"/>
        </c:scaling>
        <c:delete val="0"/>
        <c:axPos val="l"/>
        <c:majorGridlines/>
        <c:numFmt formatCode="General" sourceLinked="1"/>
        <c:majorTickMark val="none"/>
        <c:minorTickMark val="none"/>
        <c:tickLblPos val="nextTo"/>
        <c:spPr>
          <a:ln w="9525">
            <a:noFill/>
          </a:ln>
        </c:spPr>
        <c:txPr>
          <a:bodyPr/>
          <a:lstStyle/>
          <a:p>
            <a:pPr>
              <a:defRPr sz="800" b="1">
                <a:latin typeface="Times New Roman" pitchFamily="18" charset="0"/>
                <a:cs typeface="Times New Roman" pitchFamily="18" charset="0"/>
              </a:defRPr>
            </a:pPr>
            <a:endParaRPr lang="en-US"/>
          </a:p>
        </c:txPr>
        <c:crossAx val="162084352"/>
        <c:crosses val="autoZero"/>
        <c:crossBetween val="between"/>
      </c:valAx>
    </c:plotArea>
    <c:legend>
      <c:legendPos val="b"/>
      <c:overlay val="0"/>
      <c:txPr>
        <a:bodyPr/>
        <a:lstStyle/>
        <a:p>
          <a:pPr>
            <a:defRPr sz="800"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18432285752407"/>
          <c:y val="6.4899990949407169E-2"/>
          <c:w val="0.77901452970204366"/>
          <c:h val="0.54469001719612631"/>
        </c:manualLayout>
      </c:layout>
      <c:lineChart>
        <c:grouping val="standard"/>
        <c:varyColors val="0"/>
        <c:ser>
          <c:idx val="0"/>
          <c:order val="0"/>
          <c:tx>
            <c:strRef>
              <c:f>[1]Sheet1!$O$2</c:f>
              <c:strCache>
                <c:ptCount val="1"/>
                <c:pt idx="0">
                  <c:v>Differences in Export Value (RBI Merchandise Export - DGCI&amp;S Merchandise Export)</c:v>
                </c:pt>
              </c:strCache>
            </c:strRef>
          </c:tx>
          <c:spPr>
            <a:ln>
              <a:solidFill>
                <a:schemeClr val="tx1"/>
              </a:solidFill>
            </a:ln>
          </c:spPr>
          <c:marker>
            <c:symbol val="diamond"/>
            <c:size val="5"/>
            <c:spPr>
              <a:solidFill>
                <a:schemeClr val="tx1"/>
              </a:solidFill>
              <a:ln>
                <a:solidFill>
                  <a:schemeClr val="tx1"/>
                </a:solidFill>
              </a:ln>
            </c:spPr>
          </c:marker>
          <c:cat>
            <c:strRef>
              <c:f>[1]Sheet1!$N$3:$N$26</c:f>
              <c:strCache>
                <c:ptCount val="24"/>
                <c:pt idx="0">
                  <c:v>1990-91   </c:v>
                </c:pt>
                <c:pt idx="1">
                  <c:v>1991-92   </c:v>
                </c:pt>
                <c:pt idx="2">
                  <c:v>1992-93   </c:v>
                </c:pt>
                <c:pt idx="3">
                  <c:v>1993-94   </c:v>
                </c:pt>
                <c:pt idx="4">
                  <c:v>1994-95   </c:v>
                </c:pt>
                <c:pt idx="5">
                  <c:v>1995-96   </c:v>
                </c:pt>
                <c:pt idx="6">
                  <c:v>1996-97   </c:v>
                </c:pt>
                <c:pt idx="7">
                  <c:v>1997-98   </c:v>
                </c:pt>
                <c:pt idx="8">
                  <c:v>1998-99   </c:v>
                </c:pt>
                <c:pt idx="9">
                  <c:v>1999-00   </c:v>
                </c:pt>
                <c:pt idx="10">
                  <c:v>2000-01   </c:v>
                </c:pt>
                <c:pt idx="11">
                  <c:v>2001-02   </c:v>
                </c:pt>
                <c:pt idx="12">
                  <c:v>2002-03   </c:v>
                </c:pt>
                <c:pt idx="13">
                  <c:v>2003-04   </c:v>
                </c:pt>
                <c:pt idx="14">
                  <c:v>2004-05   </c:v>
                </c:pt>
                <c:pt idx="15">
                  <c:v>2005-06   </c:v>
                </c:pt>
                <c:pt idx="16">
                  <c:v>2006-07   </c:v>
                </c:pt>
                <c:pt idx="17">
                  <c:v>2007-08   </c:v>
                </c:pt>
                <c:pt idx="18">
                  <c:v>2008-09   </c:v>
                </c:pt>
                <c:pt idx="19">
                  <c:v>2009-10   </c:v>
                </c:pt>
                <c:pt idx="20">
                  <c:v>2010-11   </c:v>
                </c:pt>
                <c:pt idx="21">
                  <c:v>2011-12   </c:v>
                </c:pt>
                <c:pt idx="22">
                  <c:v>2012-13   </c:v>
                </c:pt>
                <c:pt idx="23">
                  <c:v>2013-14   </c:v>
                </c:pt>
              </c:strCache>
            </c:strRef>
          </c:cat>
          <c:val>
            <c:numRef>
              <c:f>[1]Sheet1!$O$3:$O$26</c:f>
              <c:numCache>
                <c:formatCode>General</c:formatCode>
                <c:ptCount val="24"/>
                <c:pt idx="0">
                  <c:v>5.9539999999999509</c:v>
                </c:pt>
                <c:pt idx="1">
                  <c:v>8.8120000000000225</c:v>
                </c:pt>
                <c:pt idx="2">
                  <c:v>10.726999999999975</c:v>
                </c:pt>
                <c:pt idx="3">
                  <c:v>13.956000000000024</c:v>
                </c:pt>
                <c:pt idx="4">
                  <c:v>16.54899999999996</c:v>
                </c:pt>
                <c:pt idx="5">
                  <c:v>21.286999999999789</c:v>
                </c:pt>
                <c:pt idx="6">
                  <c:v>23.759000000000015</c:v>
                </c:pt>
                <c:pt idx="7">
                  <c:v>26.023999999999887</c:v>
                </c:pt>
                <c:pt idx="8">
                  <c:v>46.828999999999773</c:v>
                </c:pt>
                <c:pt idx="9">
                  <c:v>31.915999999999929</c:v>
                </c:pt>
                <c:pt idx="10">
                  <c:v>42.809999999999953</c:v>
                </c:pt>
                <c:pt idx="11">
                  <c:v>43.27000000000001</c:v>
                </c:pt>
                <c:pt idx="12">
                  <c:v>49.416999999999916</c:v>
                </c:pt>
                <c:pt idx="13">
                  <c:v>105.482</c:v>
                </c:pt>
                <c:pt idx="14">
                  <c:v>64.454999999999927</c:v>
                </c:pt>
                <c:pt idx="15">
                  <c:v>93.300999999999476</c:v>
                </c:pt>
                <c:pt idx="16">
                  <c:v>110.91699999999955</c:v>
                </c:pt>
                <c:pt idx="17">
                  <c:v>121.44499999999984</c:v>
                </c:pt>
                <c:pt idx="18">
                  <c:v>172.0516019999996</c:v>
                </c:pt>
                <c:pt idx="19">
                  <c:v>177.4854140500012</c:v>
                </c:pt>
                <c:pt idx="20">
                  <c:v>227.42925733999996</c:v>
                </c:pt>
                <c:pt idx="21">
                  <c:v>165.57899960000034</c:v>
                </c:pt>
                <c:pt idx="22">
                  <c:v>333.70753280999969</c:v>
                </c:pt>
                <c:pt idx="23">
                  <c:v>260.62497960999832</c:v>
                </c:pt>
              </c:numCache>
            </c:numRef>
          </c:val>
          <c:smooth val="0"/>
        </c:ser>
        <c:ser>
          <c:idx val="1"/>
          <c:order val="1"/>
          <c:tx>
            <c:strRef>
              <c:f>[1]Sheet1!$P$2</c:f>
              <c:strCache>
                <c:ptCount val="1"/>
                <c:pt idx="0">
                  <c:v>Differences in Import Value (RBI Merchandise Import - DGCI&amp;S Merchandise Import)</c:v>
                </c:pt>
              </c:strCache>
            </c:strRef>
          </c:tx>
          <c:spPr>
            <a:ln>
              <a:solidFill>
                <a:schemeClr val="tx1"/>
              </a:solidFill>
              <a:prstDash val="sysDash"/>
            </a:ln>
          </c:spPr>
          <c:marker>
            <c:symbol val="circle"/>
            <c:size val="4"/>
            <c:spPr>
              <a:solidFill>
                <a:schemeClr val="tx1"/>
              </a:solidFill>
              <a:ln>
                <a:solidFill>
                  <a:schemeClr val="tx1"/>
                </a:solidFill>
              </a:ln>
            </c:spPr>
          </c:marker>
          <c:cat>
            <c:strRef>
              <c:f>[1]Sheet1!$N$3:$N$26</c:f>
              <c:strCache>
                <c:ptCount val="24"/>
                <c:pt idx="0">
                  <c:v>1990-91   </c:v>
                </c:pt>
                <c:pt idx="1">
                  <c:v>1991-92   </c:v>
                </c:pt>
                <c:pt idx="2">
                  <c:v>1992-93   </c:v>
                </c:pt>
                <c:pt idx="3">
                  <c:v>1993-94   </c:v>
                </c:pt>
                <c:pt idx="4">
                  <c:v>1994-95   </c:v>
                </c:pt>
                <c:pt idx="5">
                  <c:v>1995-96   </c:v>
                </c:pt>
                <c:pt idx="6">
                  <c:v>1996-97   </c:v>
                </c:pt>
                <c:pt idx="7">
                  <c:v>1997-98   </c:v>
                </c:pt>
                <c:pt idx="8">
                  <c:v>1998-99   </c:v>
                </c:pt>
                <c:pt idx="9">
                  <c:v>1999-00   </c:v>
                </c:pt>
                <c:pt idx="10">
                  <c:v>2000-01   </c:v>
                </c:pt>
                <c:pt idx="11">
                  <c:v>2001-02   </c:v>
                </c:pt>
                <c:pt idx="12">
                  <c:v>2002-03   </c:v>
                </c:pt>
                <c:pt idx="13">
                  <c:v>2003-04   </c:v>
                </c:pt>
                <c:pt idx="14">
                  <c:v>2004-05   </c:v>
                </c:pt>
                <c:pt idx="15">
                  <c:v>2005-06   </c:v>
                </c:pt>
                <c:pt idx="16">
                  <c:v>2006-07   </c:v>
                </c:pt>
                <c:pt idx="17">
                  <c:v>2007-08   </c:v>
                </c:pt>
                <c:pt idx="18">
                  <c:v>2008-09   </c:v>
                </c:pt>
                <c:pt idx="19">
                  <c:v>2009-10   </c:v>
                </c:pt>
                <c:pt idx="20">
                  <c:v>2010-11   </c:v>
                </c:pt>
                <c:pt idx="21">
                  <c:v>2011-12   </c:v>
                </c:pt>
                <c:pt idx="22">
                  <c:v>2012-13   </c:v>
                </c:pt>
                <c:pt idx="23">
                  <c:v>2013-14   </c:v>
                </c:pt>
              </c:strCache>
            </c:strRef>
          </c:cat>
          <c:val>
            <c:numRef>
              <c:f>[1]Sheet1!$P$3:$P$26</c:f>
              <c:numCache>
                <c:formatCode>General</c:formatCode>
                <c:ptCount val="24"/>
                <c:pt idx="0">
                  <c:v>68.930999999999997</c:v>
                </c:pt>
                <c:pt idx="1">
                  <c:v>35.661999999999956</c:v>
                </c:pt>
                <c:pt idx="2">
                  <c:v>86.254999999999995</c:v>
                </c:pt>
                <c:pt idx="3">
                  <c:v>107.69000000000005</c:v>
                </c:pt>
                <c:pt idx="4">
                  <c:v>227.77299999999997</c:v>
                </c:pt>
                <c:pt idx="5">
                  <c:v>238.64899999999997</c:v>
                </c:pt>
                <c:pt idx="6">
                  <c:v>348.34299999999985</c:v>
                </c:pt>
                <c:pt idx="7">
                  <c:v>363.31699999999944</c:v>
                </c:pt>
                <c:pt idx="8">
                  <c:v>215.82100000000005</c:v>
                </c:pt>
                <c:pt idx="9">
                  <c:v>248.75499999999965</c:v>
                </c:pt>
                <c:pt idx="10">
                  <c:v>337.16199999999969</c:v>
                </c:pt>
                <c:pt idx="11">
                  <c:v>231.00299999999984</c:v>
                </c:pt>
                <c:pt idx="12">
                  <c:v>145.70100000000002</c:v>
                </c:pt>
                <c:pt idx="13">
                  <c:v>81.932999999999993</c:v>
                </c:pt>
                <c:pt idx="14">
                  <c:v>324.85499999999956</c:v>
                </c:pt>
                <c:pt idx="15">
                  <c:v>350.03099999999961</c:v>
                </c:pt>
                <c:pt idx="16">
                  <c:v>223.26699999999983</c:v>
                </c:pt>
                <c:pt idx="17">
                  <c:v>233.61299999999937</c:v>
                </c:pt>
                <c:pt idx="18">
                  <c:v>309.73721700000169</c:v>
                </c:pt>
                <c:pt idx="19">
                  <c:v>595.12037967000185</c:v>
                </c:pt>
                <c:pt idx="20">
                  <c:v>626.68415526999945</c:v>
                </c:pt>
                <c:pt idx="21">
                  <c:v>491.83545860000226</c:v>
                </c:pt>
                <c:pt idx="22">
                  <c:v>629.83842610999636</c:v>
                </c:pt>
                <c:pt idx="23">
                  <c:v>1004.8458149699982</c:v>
                </c:pt>
              </c:numCache>
            </c:numRef>
          </c:val>
          <c:smooth val="0"/>
        </c:ser>
        <c:dLbls>
          <c:showLegendKey val="0"/>
          <c:showVal val="0"/>
          <c:showCatName val="0"/>
          <c:showSerName val="0"/>
          <c:showPercent val="0"/>
          <c:showBubbleSize val="0"/>
        </c:dLbls>
        <c:marker val="1"/>
        <c:smooth val="0"/>
        <c:axId val="162094464"/>
        <c:axId val="162113024"/>
      </c:lineChart>
      <c:catAx>
        <c:axId val="162094464"/>
        <c:scaling>
          <c:orientation val="minMax"/>
        </c:scaling>
        <c:delete val="0"/>
        <c:axPos val="b"/>
        <c:majorTickMark val="none"/>
        <c:minorTickMark val="none"/>
        <c:tickLblPos val="nextTo"/>
        <c:txPr>
          <a:bodyPr/>
          <a:lstStyle/>
          <a:p>
            <a:pPr>
              <a:defRPr sz="800" b="0"/>
            </a:pPr>
            <a:endParaRPr lang="en-US"/>
          </a:p>
        </c:txPr>
        <c:crossAx val="162113024"/>
        <c:crosses val="autoZero"/>
        <c:auto val="1"/>
        <c:lblAlgn val="ctr"/>
        <c:lblOffset val="100"/>
        <c:noMultiLvlLbl val="0"/>
      </c:catAx>
      <c:valAx>
        <c:axId val="162113024"/>
        <c:scaling>
          <c:orientation val="minMax"/>
        </c:scaling>
        <c:delete val="0"/>
        <c:axPos val="l"/>
        <c:majorGridlines/>
        <c:title>
          <c:tx>
            <c:rich>
              <a:bodyPr/>
              <a:lstStyle/>
              <a:p>
                <a:pPr>
                  <a:defRPr b="0"/>
                </a:pPr>
                <a:r>
                  <a:rPr lang="en-US" b="0"/>
                  <a:t>Rs Billion</a:t>
                </a:r>
              </a:p>
            </c:rich>
          </c:tx>
          <c:overlay val="0"/>
        </c:title>
        <c:numFmt formatCode="General" sourceLinked="1"/>
        <c:majorTickMark val="none"/>
        <c:minorTickMark val="none"/>
        <c:tickLblPos val="nextTo"/>
        <c:txPr>
          <a:bodyPr/>
          <a:lstStyle/>
          <a:p>
            <a:pPr>
              <a:defRPr sz="800" b="0"/>
            </a:pPr>
            <a:endParaRPr lang="en-US"/>
          </a:p>
        </c:txPr>
        <c:crossAx val="162094464"/>
        <c:crosses val="autoZero"/>
        <c:crossBetween val="between"/>
      </c:valAx>
    </c:plotArea>
    <c:legend>
      <c:legendPos val="r"/>
      <c:layout>
        <c:manualLayout>
          <c:xMode val="edge"/>
          <c:yMode val="edge"/>
          <c:x val="1.3215866430792178E-2"/>
          <c:y val="0.83186814291891675"/>
          <c:w val="0.96823179028863382"/>
          <c:h val="0.11099727476594159"/>
        </c:manualLayout>
      </c:layout>
      <c:overlay val="0"/>
      <c:txPr>
        <a:bodyPr/>
        <a:lstStyle/>
        <a:p>
          <a:pPr>
            <a:defRPr sz="800" b="0"/>
          </a:pPr>
          <a:endParaRPr lang="en-US"/>
        </a:p>
      </c:txPr>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8</cp:revision>
  <cp:lastPrinted>2015-06-07T18:39:00Z</cp:lastPrinted>
  <dcterms:created xsi:type="dcterms:W3CDTF">2015-06-07T17:37:00Z</dcterms:created>
  <dcterms:modified xsi:type="dcterms:W3CDTF">2015-06-07T18:39:00Z</dcterms:modified>
</cp:coreProperties>
</file>