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F" w:rsidRPr="000261E5" w:rsidRDefault="00D430C4" w:rsidP="000261E5">
      <w:pPr>
        <w:spacing w:after="0" w:line="360" w:lineRule="auto"/>
        <w:jc w:val="center"/>
        <w:rPr>
          <w:rFonts w:ascii="Times New Roman" w:hAnsi="Times New Roman" w:cs="Times New Roman"/>
          <w:b/>
          <w:bCs/>
          <w:lang w:val="en-US"/>
        </w:rPr>
      </w:pPr>
      <w:bookmarkStart w:id="0" w:name="_GoBack"/>
      <w:bookmarkEnd w:id="0"/>
      <w:r w:rsidRPr="00D430C4">
        <w:rPr>
          <w:rFonts w:ascii="Times New Roman" w:hAnsi="Times New Roman" w:cs="Times New Roman"/>
          <w:b/>
          <w:bCs/>
          <w:lang w:val="en-US"/>
        </w:rPr>
        <w:t xml:space="preserve">KERALA’S </w:t>
      </w:r>
      <w:proofErr w:type="gramStart"/>
      <w:r w:rsidRPr="00D430C4">
        <w:rPr>
          <w:rFonts w:ascii="Times New Roman" w:hAnsi="Times New Roman" w:cs="Times New Roman"/>
          <w:b/>
          <w:bCs/>
          <w:lang w:val="en-US"/>
        </w:rPr>
        <w:t>INEQUALITY :</w:t>
      </w:r>
      <w:proofErr w:type="gramEnd"/>
      <w:r w:rsidRPr="00D430C4">
        <w:rPr>
          <w:rFonts w:ascii="Times New Roman" w:hAnsi="Times New Roman" w:cs="Times New Roman"/>
          <w:b/>
          <w:bCs/>
          <w:lang w:val="en-US"/>
        </w:rPr>
        <w:t xml:space="preserve"> A DIMENSION UNEXPLORED</w:t>
      </w:r>
    </w:p>
    <w:p w:rsidR="00E11E1E" w:rsidRDefault="00E11E1E" w:rsidP="000E4885">
      <w:pPr>
        <w:spacing w:after="0" w:line="360" w:lineRule="auto"/>
        <w:jc w:val="center"/>
        <w:rPr>
          <w:rFonts w:ascii="Times New Roman" w:hAnsi="Times New Roman" w:cs="Times New Roman"/>
          <w:b/>
          <w:sz w:val="28"/>
          <w:szCs w:val="28"/>
        </w:rPr>
      </w:pPr>
    </w:p>
    <w:p w:rsidR="00C6615F" w:rsidRDefault="00D430C4" w:rsidP="00E11E1E">
      <w:pPr>
        <w:spacing w:after="0" w:line="360" w:lineRule="auto"/>
        <w:jc w:val="center"/>
        <w:rPr>
          <w:rFonts w:ascii="Times New Roman" w:hAnsi="Times New Roman" w:cs="Times New Roman"/>
          <w:b/>
        </w:rPr>
      </w:pPr>
      <w:r>
        <w:rPr>
          <w:rFonts w:ascii="Times New Roman" w:hAnsi="Times New Roman" w:cs="Times New Roman"/>
          <w:b/>
          <w:lang w:val="en-US"/>
        </w:rPr>
        <w:t>Prof</w:t>
      </w:r>
      <w:r w:rsidR="00C6615F" w:rsidRPr="00C6615F">
        <w:rPr>
          <w:rFonts w:ascii="Times New Roman" w:hAnsi="Times New Roman" w:cs="Times New Roman"/>
          <w:b/>
          <w:lang w:val="en-US"/>
        </w:rPr>
        <w:t xml:space="preserve">. </w:t>
      </w:r>
      <w:proofErr w:type="spellStart"/>
      <w:r>
        <w:rPr>
          <w:rFonts w:ascii="Times New Roman" w:hAnsi="Times New Roman" w:cs="Times New Roman"/>
          <w:b/>
          <w:lang w:val="en-US"/>
        </w:rPr>
        <w:t>Raju</w:t>
      </w:r>
      <w:proofErr w:type="spellEnd"/>
      <w:r w:rsidR="00C6615F" w:rsidRPr="00C6615F">
        <w:rPr>
          <w:rFonts w:ascii="Times New Roman" w:hAnsi="Times New Roman" w:cs="Times New Roman"/>
          <w:b/>
        </w:rPr>
        <w:t xml:space="preserve"> </w:t>
      </w:r>
      <w:r>
        <w:rPr>
          <w:rFonts w:ascii="Times New Roman" w:hAnsi="Times New Roman" w:cs="Times New Roman"/>
          <w:b/>
        </w:rPr>
        <w:t>John</w:t>
      </w:r>
    </w:p>
    <w:p w:rsidR="00F41570" w:rsidRDefault="00D430C4" w:rsidP="00E11E1E">
      <w:pPr>
        <w:spacing w:after="0" w:line="360" w:lineRule="auto"/>
        <w:jc w:val="center"/>
        <w:rPr>
          <w:rFonts w:ascii="Times New Roman" w:hAnsi="Times New Roman" w:cs="Times New Roman"/>
          <w:sz w:val="20"/>
          <w:szCs w:val="20"/>
          <w:lang w:val="en-US"/>
        </w:rPr>
      </w:pPr>
      <w:r w:rsidRPr="00D430C4">
        <w:rPr>
          <w:rFonts w:ascii="Times New Roman" w:hAnsi="Times New Roman" w:cs="Times New Roman"/>
          <w:sz w:val="20"/>
          <w:szCs w:val="20"/>
          <w:lang w:val="en-US"/>
        </w:rPr>
        <w:t xml:space="preserve">Assistant Professor, </w:t>
      </w:r>
      <w:proofErr w:type="spellStart"/>
      <w:r w:rsidRPr="00D430C4">
        <w:rPr>
          <w:rFonts w:ascii="Times New Roman" w:hAnsi="Times New Roman" w:cs="Times New Roman"/>
          <w:sz w:val="20"/>
          <w:szCs w:val="20"/>
          <w:lang w:val="en-US"/>
        </w:rPr>
        <w:t>Baselious</w:t>
      </w:r>
      <w:proofErr w:type="spellEnd"/>
      <w:r w:rsidRPr="00D430C4">
        <w:rPr>
          <w:rFonts w:ascii="Times New Roman" w:hAnsi="Times New Roman" w:cs="Times New Roman"/>
          <w:sz w:val="20"/>
          <w:szCs w:val="20"/>
          <w:lang w:val="en-US"/>
        </w:rPr>
        <w:t xml:space="preserve"> College, </w:t>
      </w:r>
      <w:proofErr w:type="spellStart"/>
      <w:r w:rsidRPr="00D430C4">
        <w:rPr>
          <w:rFonts w:ascii="Times New Roman" w:hAnsi="Times New Roman" w:cs="Times New Roman"/>
          <w:sz w:val="20"/>
          <w:szCs w:val="20"/>
          <w:lang w:val="en-US"/>
        </w:rPr>
        <w:t>Kottayam</w:t>
      </w:r>
      <w:proofErr w:type="spellEnd"/>
    </w:p>
    <w:p w:rsidR="00D430C4" w:rsidRPr="00E11E1E" w:rsidRDefault="00D430C4" w:rsidP="00E11E1E">
      <w:pPr>
        <w:spacing w:after="0" w:line="360" w:lineRule="auto"/>
        <w:jc w:val="center"/>
        <w:rPr>
          <w:rFonts w:ascii="Times New Roman" w:hAnsi="Times New Roman" w:cs="Times New Roman"/>
          <w:b/>
          <w:sz w:val="20"/>
          <w:szCs w:val="20"/>
        </w:rPr>
      </w:pPr>
    </w:p>
    <w:p w:rsidR="000E4885" w:rsidRDefault="00027409" w:rsidP="00E11E1E">
      <w:pPr>
        <w:spacing w:after="0" w:line="360" w:lineRule="auto"/>
        <w:jc w:val="center"/>
        <w:rPr>
          <w:rFonts w:ascii="Times New Roman" w:hAnsi="Times New Roman" w:cs="Times New Roman"/>
          <w:b/>
        </w:rPr>
      </w:pPr>
      <w:r>
        <w:rPr>
          <w:rFonts w:ascii="Times New Roman" w:hAnsi="Times New Roman" w:cs="Times New Roman"/>
          <w:b/>
        </w:rPr>
        <w:t>Abstract</w:t>
      </w:r>
    </w:p>
    <w:p w:rsidR="00C6615F" w:rsidRPr="00D430C4" w:rsidRDefault="00D430C4" w:rsidP="00D430C4">
      <w:pPr>
        <w:spacing w:after="120" w:line="360" w:lineRule="auto"/>
        <w:jc w:val="both"/>
        <w:rPr>
          <w:rFonts w:ascii="Times New Roman" w:hAnsi="Times New Roman" w:cs="Times New Roman"/>
          <w:b/>
          <w:bCs/>
          <w:i/>
          <w:lang w:val="en-US"/>
        </w:rPr>
      </w:pPr>
      <w:r w:rsidRPr="00D430C4">
        <w:rPr>
          <w:rFonts w:ascii="Times New Roman" w:hAnsi="Times New Roman" w:cs="Times New Roman"/>
          <w:i/>
          <w:lang w:val="en-US"/>
        </w:rPr>
        <w:t>This study tried to understand the impact of migration and remittances on Kerala's inequality scenario. An attempt has been made here to examine whether migration was causing inequality between households with or without migrants and if so, to what extent.</w:t>
      </w:r>
    </w:p>
    <w:p w:rsidR="00D430C4" w:rsidRPr="006F1FC3" w:rsidRDefault="00D430C4" w:rsidP="00D430C4">
      <w:pPr>
        <w:spacing w:after="120" w:line="360" w:lineRule="auto"/>
        <w:jc w:val="both"/>
        <w:rPr>
          <w:rFonts w:ascii="Times New Roman" w:hAnsi="Times New Roman"/>
          <w:b/>
        </w:rPr>
      </w:pPr>
      <w:r w:rsidRPr="006F1FC3">
        <w:rPr>
          <w:rFonts w:ascii="Times New Roman" w:hAnsi="Times New Roman"/>
          <w:b/>
        </w:rPr>
        <w:t>1.</w:t>
      </w:r>
      <w:r>
        <w:rPr>
          <w:rFonts w:ascii="Times New Roman" w:hAnsi="Times New Roman"/>
          <w:b/>
        </w:rPr>
        <w:t xml:space="preserve">0 </w:t>
      </w:r>
      <w:r w:rsidRPr="006F1FC3">
        <w:rPr>
          <w:rFonts w:ascii="Times New Roman" w:hAnsi="Times New Roman"/>
          <w:b/>
        </w:rPr>
        <w:t>Introduction</w:t>
      </w:r>
    </w:p>
    <w:p w:rsidR="00D430C4" w:rsidRPr="006F1FC3" w:rsidRDefault="00D430C4" w:rsidP="00D430C4">
      <w:pPr>
        <w:spacing w:after="120" w:line="360" w:lineRule="auto"/>
        <w:ind w:firstLine="720"/>
        <w:jc w:val="both"/>
        <w:rPr>
          <w:rFonts w:ascii="Times New Roman" w:hAnsi="Times New Roman"/>
        </w:rPr>
      </w:pPr>
      <w:r w:rsidRPr="006F1FC3">
        <w:rPr>
          <w:rFonts w:ascii="Times New Roman" w:hAnsi="Times New Roman"/>
        </w:rPr>
        <w:t xml:space="preserve">Kerala's development experience has always received attention at the national and international levels. In early economic literature, Kerala is perceived as a state where comparatively lower levels of income (Net State Domestic Product) coexisted with high levels of human development </w:t>
      </w:r>
      <w:r w:rsidRPr="006F1FC3">
        <w:rPr>
          <w:rFonts w:ascii="Times New Roman" w:hAnsi="Times New Roman"/>
          <w:color w:val="000000"/>
        </w:rPr>
        <w:t>(United Nations 1975).</w:t>
      </w:r>
      <w:r w:rsidRPr="006F1FC3">
        <w:rPr>
          <w:rFonts w:ascii="Times New Roman" w:hAnsi="Times New Roman"/>
        </w:rPr>
        <w:t xml:space="preserve"> However, more recent studies have illustrated an altogether different story. Though Kerala experienced faster economic growth in the post-reform period, the state has also been experiencing widening interpersonal inequality during this period. </w:t>
      </w:r>
      <w:proofErr w:type="spellStart"/>
      <w:r w:rsidRPr="006F1FC3">
        <w:rPr>
          <w:rFonts w:ascii="Times New Roman" w:hAnsi="Times New Roman"/>
        </w:rPr>
        <w:t>Subrahmanian</w:t>
      </w:r>
      <w:proofErr w:type="spellEnd"/>
      <w:r w:rsidRPr="006F1FC3">
        <w:rPr>
          <w:rFonts w:ascii="Times New Roman" w:hAnsi="Times New Roman"/>
        </w:rPr>
        <w:t xml:space="preserve"> and Prasad (2008) attributed Kerala’s increasing inequalities to “excessive” liberalization and globalization policies and lack of proper policies on tax and social security. Mishra and Parikh (1992) discussed the high levels of inequality between the urban and rural sectors in Kerala. The role of caste in Kerala's inequality is emphasized by </w:t>
      </w:r>
      <w:proofErr w:type="spellStart"/>
      <w:r w:rsidRPr="006F1FC3">
        <w:rPr>
          <w:rFonts w:ascii="Times New Roman" w:hAnsi="Times New Roman"/>
        </w:rPr>
        <w:t>Deshpande</w:t>
      </w:r>
      <w:proofErr w:type="spellEnd"/>
      <w:r w:rsidRPr="006F1FC3">
        <w:rPr>
          <w:rFonts w:ascii="Times New Roman" w:hAnsi="Times New Roman"/>
        </w:rPr>
        <w:t xml:space="preserve"> (2002). Problems in tax policy and development expenditure (Singh, </w:t>
      </w:r>
      <w:proofErr w:type="spellStart"/>
      <w:r w:rsidRPr="006F1FC3">
        <w:rPr>
          <w:rFonts w:ascii="Times New Roman" w:hAnsi="Times New Roman"/>
        </w:rPr>
        <w:t>Bhandari</w:t>
      </w:r>
      <w:proofErr w:type="spellEnd"/>
      <w:r w:rsidRPr="006F1FC3">
        <w:rPr>
          <w:rFonts w:ascii="Times New Roman" w:hAnsi="Times New Roman"/>
        </w:rPr>
        <w:t xml:space="preserve">, Chen and </w:t>
      </w:r>
      <w:proofErr w:type="spellStart"/>
      <w:r w:rsidRPr="006F1FC3">
        <w:rPr>
          <w:rFonts w:ascii="Times New Roman" w:hAnsi="Times New Roman"/>
        </w:rPr>
        <w:t>Khare</w:t>
      </w:r>
      <w:proofErr w:type="spellEnd"/>
      <w:r w:rsidRPr="006F1FC3">
        <w:rPr>
          <w:rFonts w:ascii="Times New Roman" w:hAnsi="Times New Roman"/>
        </w:rPr>
        <w:t xml:space="preserve"> 2002, Pal and </w:t>
      </w:r>
      <w:proofErr w:type="spellStart"/>
      <w:r w:rsidRPr="006F1FC3">
        <w:rPr>
          <w:rFonts w:ascii="Times New Roman" w:hAnsi="Times New Roman"/>
        </w:rPr>
        <w:t>Ghosh</w:t>
      </w:r>
      <w:proofErr w:type="spellEnd"/>
      <w:r w:rsidRPr="006F1FC3">
        <w:rPr>
          <w:rFonts w:ascii="Times New Roman" w:hAnsi="Times New Roman"/>
        </w:rPr>
        <w:t xml:space="preserve"> 2007), the differential effect of globalization, </w:t>
      </w:r>
      <w:r w:rsidRPr="006F1FC3">
        <w:rPr>
          <w:rFonts w:ascii="Times New Roman" w:hAnsi="Times New Roman"/>
        </w:rPr>
        <w:lastRenderedPageBreak/>
        <w:t>economic reforms and neoliberal policies among different occupational groups and (</w:t>
      </w:r>
      <w:proofErr w:type="spellStart"/>
      <w:r w:rsidRPr="006F1FC3">
        <w:rPr>
          <w:rFonts w:ascii="Times New Roman" w:hAnsi="Times New Roman"/>
        </w:rPr>
        <w:t>Jha</w:t>
      </w:r>
      <w:proofErr w:type="spellEnd"/>
      <w:r w:rsidRPr="006F1FC3">
        <w:rPr>
          <w:rFonts w:ascii="Times New Roman" w:hAnsi="Times New Roman"/>
        </w:rPr>
        <w:t xml:space="preserve">, </w:t>
      </w:r>
      <w:proofErr w:type="spellStart"/>
      <w:r w:rsidRPr="006F1FC3">
        <w:rPr>
          <w:rFonts w:ascii="Times New Roman" w:hAnsi="Times New Roman"/>
        </w:rPr>
        <w:t>Gaiha</w:t>
      </w:r>
      <w:proofErr w:type="spellEnd"/>
      <w:r w:rsidRPr="006F1FC3">
        <w:rPr>
          <w:rFonts w:ascii="Times New Roman" w:hAnsi="Times New Roman"/>
        </w:rPr>
        <w:t xml:space="preserve"> and Sharma 2007) are reasons suggested by other authors.</w:t>
      </w:r>
    </w:p>
    <w:p w:rsidR="00D430C4" w:rsidRPr="006F1FC3" w:rsidRDefault="00D430C4" w:rsidP="00D430C4">
      <w:pPr>
        <w:spacing w:after="120" w:line="360" w:lineRule="auto"/>
        <w:jc w:val="both"/>
        <w:rPr>
          <w:rFonts w:ascii="Times New Roman" w:hAnsi="Times New Roman"/>
        </w:rPr>
      </w:pPr>
      <w:r w:rsidRPr="006F1FC3">
        <w:rPr>
          <w:rFonts w:ascii="Times New Roman" w:hAnsi="Times New Roman"/>
        </w:rPr>
        <w:t xml:space="preserve">Yet one of the most potent factors of inequality has been completely kept out of analysis. This relates to international migration and international remittances. Remittances sent by international migrants were as much as a third of (31 per cent) of Kerala's Net State Domestic Product (Zachariah and </w:t>
      </w:r>
      <w:proofErr w:type="spellStart"/>
      <w:r w:rsidRPr="006F1FC3">
        <w:rPr>
          <w:rFonts w:ascii="Times New Roman" w:hAnsi="Times New Roman"/>
        </w:rPr>
        <w:t>Rajan</w:t>
      </w:r>
      <w:proofErr w:type="spellEnd"/>
      <w:r w:rsidRPr="006F1FC3">
        <w:rPr>
          <w:rFonts w:ascii="Times New Roman" w:hAnsi="Times New Roman"/>
        </w:rPr>
        <w:t xml:space="preserve"> 2010, 2012). Over the past one decade remittances coming to Kerala increased by 254% (Zachariah and </w:t>
      </w:r>
      <w:proofErr w:type="spellStart"/>
      <w:r w:rsidRPr="006F1FC3">
        <w:rPr>
          <w:rFonts w:ascii="Times New Roman" w:hAnsi="Times New Roman"/>
        </w:rPr>
        <w:t>Rajan</w:t>
      </w:r>
      <w:proofErr w:type="spellEnd"/>
      <w:r w:rsidRPr="006F1FC3">
        <w:rPr>
          <w:rFonts w:ascii="Times New Roman" w:hAnsi="Times New Roman"/>
        </w:rPr>
        <w:t xml:space="preserve"> 2010), but the proportion of households with an emigrant or the proportion of households that received remittances from abroad is stagnant at about 17 per cent since 1998 (Zachariah and </w:t>
      </w:r>
      <w:proofErr w:type="spellStart"/>
      <w:r w:rsidRPr="006F1FC3">
        <w:rPr>
          <w:rFonts w:ascii="Times New Roman" w:hAnsi="Times New Roman"/>
        </w:rPr>
        <w:t>Rajan</w:t>
      </w:r>
      <w:proofErr w:type="spellEnd"/>
      <w:r w:rsidRPr="006F1FC3">
        <w:rPr>
          <w:rFonts w:ascii="Times New Roman" w:hAnsi="Times New Roman"/>
        </w:rPr>
        <w:t xml:space="preserve"> 2010,2012). This implies that the vast majority of Kerala households, over 80 per cent, who are still not direct participants of this great phenomenon that is transforming Kerala's economy and society, are excluded from the benefits of migration. Given the relative earnings differentials between international migrants and non-migrants, can we attribute the rise of inequality in Kerala’s economy to international migration? Is it that while the base of migration has remained stagnant, the returns from migration has vastly increased, thus leading to rising inequality in Kerala? Given this background, it is important to explore the relationship between international migration and inequality in the Kerala context.</w:t>
      </w:r>
      <w:r w:rsidRPr="006F1FC3">
        <w:rPr>
          <w:rFonts w:ascii="Times New Roman" w:hAnsi="Times New Roman"/>
          <w:bCs/>
        </w:rPr>
        <w:t xml:space="preserve"> Thus the objective of this paper is to understand the role of migration in Kerala’s economic inequality by comparing the living standards of migrant and non-migrant households</w:t>
      </w:r>
      <w:r>
        <w:rPr>
          <w:rFonts w:ascii="Times New Roman" w:hAnsi="Times New Roman"/>
          <w:bCs/>
        </w:rPr>
        <w:t xml:space="preserve">. Does migration cause inequality in living standard between migrant and </w:t>
      </w:r>
      <w:r w:rsidR="000261E5">
        <w:rPr>
          <w:rFonts w:ascii="Times New Roman" w:hAnsi="Times New Roman"/>
          <w:bCs/>
        </w:rPr>
        <w:t>non-migrant</w:t>
      </w:r>
      <w:r>
        <w:rPr>
          <w:rFonts w:ascii="Times New Roman" w:hAnsi="Times New Roman"/>
          <w:bCs/>
        </w:rPr>
        <w:t xml:space="preserve"> households? This is the question this paper tries to answer.</w:t>
      </w:r>
    </w:p>
    <w:p w:rsidR="00D430C4" w:rsidRPr="006F1FC3" w:rsidRDefault="00D430C4" w:rsidP="00D430C4">
      <w:pPr>
        <w:spacing w:after="120" w:line="360" w:lineRule="auto"/>
        <w:jc w:val="both"/>
        <w:rPr>
          <w:rFonts w:ascii="Times New Roman" w:hAnsi="Times New Roman"/>
          <w:b/>
        </w:rPr>
      </w:pPr>
      <w:r w:rsidRPr="006F1FC3">
        <w:rPr>
          <w:rFonts w:ascii="Times New Roman" w:hAnsi="Times New Roman"/>
          <w:b/>
        </w:rPr>
        <w:lastRenderedPageBreak/>
        <w:t>2.</w:t>
      </w:r>
      <w:r>
        <w:rPr>
          <w:rFonts w:ascii="Times New Roman" w:hAnsi="Times New Roman"/>
          <w:b/>
        </w:rPr>
        <w:t xml:space="preserve">0 </w:t>
      </w:r>
      <w:r w:rsidRPr="006F1FC3">
        <w:rPr>
          <w:rFonts w:ascii="Times New Roman" w:hAnsi="Times New Roman"/>
          <w:b/>
        </w:rPr>
        <w:t xml:space="preserve">Review of literature </w:t>
      </w:r>
    </w:p>
    <w:p w:rsidR="00D430C4" w:rsidRPr="006F1FC3" w:rsidRDefault="00D430C4" w:rsidP="00D430C4">
      <w:pPr>
        <w:spacing w:after="120" w:line="360" w:lineRule="auto"/>
        <w:jc w:val="both"/>
        <w:rPr>
          <w:rFonts w:ascii="Times New Roman" w:hAnsi="Times New Roman"/>
        </w:rPr>
      </w:pPr>
      <w:r w:rsidRPr="006F1FC3">
        <w:rPr>
          <w:rFonts w:ascii="Times New Roman" w:hAnsi="Times New Roman"/>
        </w:rPr>
        <w:t>So</w:t>
      </w:r>
      <w:r>
        <w:rPr>
          <w:rFonts w:ascii="Times New Roman" w:hAnsi="Times New Roman"/>
        </w:rPr>
        <w:t>me studies argue that inequalities will increase</w:t>
      </w:r>
      <w:r w:rsidRPr="006F1FC3">
        <w:rPr>
          <w:rFonts w:ascii="Times New Roman" w:hAnsi="Times New Roman"/>
        </w:rPr>
        <w:t xml:space="preserve"> due to migration (Stark, Taylor and </w:t>
      </w:r>
      <w:proofErr w:type="spellStart"/>
      <w:r w:rsidRPr="006F1FC3">
        <w:rPr>
          <w:rFonts w:ascii="Times New Roman" w:hAnsi="Times New Roman"/>
        </w:rPr>
        <w:t>Yitzhaki</w:t>
      </w:r>
      <w:proofErr w:type="spellEnd"/>
      <w:r w:rsidRPr="006F1FC3">
        <w:rPr>
          <w:rFonts w:ascii="Times New Roman" w:hAnsi="Times New Roman"/>
        </w:rPr>
        <w:t xml:space="preserve"> (1986), </w:t>
      </w:r>
      <w:proofErr w:type="spellStart"/>
      <w:r w:rsidRPr="006F1FC3">
        <w:rPr>
          <w:rFonts w:ascii="Times New Roman" w:hAnsi="Times New Roman"/>
        </w:rPr>
        <w:t>Portes</w:t>
      </w:r>
      <w:proofErr w:type="spellEnd"/>
      <w:r w:rsidRPr="006F1FC3">
        <w:rPr>
          <w:rFonts w:ascii="Times New Roman" w:hAnsi="Times New Roman"/>
        </w:rPr>
        <w:t xml:space="preserve"> and </w:t>
      </w:r>
      <w:proofErr w:type="spellStart"/>
      <w:r w:rsidRPr="006F1FC3">
        <w:rPr>
          <w:rFonts w:ascii="Times New Roman" w:hAnsi="Times New Roman"/>
        </w:rPr>
        <w:t>Rumbaut</w:t>
      </w:r>
      <w:proofErr w:type="spellEnd"/>
      <w:r w:rsidRPr="006F1FC3">
        <w:rPr>
          <w:rFonts w:ascii="Times New Roman" w:hAnsi="Times New Roman"/>
        </w:rPr>
        <w:t xml:space="preserve"> (1990), Rodriguez (1998), </w:t>
      </w:r>
      <w:proofErr w:type="spellStart"/>
      <w:r w:rsidRPr="006F1FC3">
        <w:rPr>
          <w:rFonts w:ascii="Times New Roman" w:hAnsi="Times New Roman"/>
        </w:rPr>
        <w:t>Barham</w:t>
      </w:r>
      <w:proofErr w:type="spellEnd"/>
      <w:r w:rsidRPr="006F1FC3">
        <w:rPr>
          <w:rFonts w:ascii="Times New Roman" w:hAnsi="Times New Roman"/>
        </w:rPr>
        <w:t xml:space="preserve"> and Boucher (1998), </w:t>
      </w:r>
      <w:proofErr w:type="spellStart"/>
      <w:r w:rsidRPr="006F1FC3">
        <w:rPr>
          <w:rFonts w:ascii="Times New Roman" w:hAnsi="Times New Roman"/>
        </w:rPr>
        <w:t>Tullao</w:t>
      </w:r>
      <w:proofErr w:type="spellEnd"/>
      <w:r w:rsidRPr="006F1FC3">
        <w:rPr>
          <w:rFonts w:ascii="Times New Roman" w:hAnsi="Times New Roman"/>
        </w:rPr>
        <w:t xml:space="preserve">, Cortez and See (2007), </w:t>
      </w:r>
      <w:proofErr w:type="spellStart"/>
      <w:r w:rsidRPr="006F1FC3">
        <w:rPr>
          <w:rFonts w:ascii="Times New Roman" w:hAnsi="Times New Roman"/>
        </w:rPr>
        <w:t>Zosa</w:t>
      </w:r>
      <w:proofErr w:type="spellEnd"/>
      <w:r w:rsidRPr="006F1FC3">
        <w:rPr>
          <w:rFonts w:ascii="Times New Roman" w:hAnsi="Times New Roman"/>
        </w:rPr>
        <w:t xml:space="preserve"> and </w:t>
      </w:r>
      <w:proofErr w:type="spellStart"/>
      <w:r w:rsidRPr="006F1FC3">
        <w:rPr>
          <w:rFonts w:ascii="Times New Roman" w:hAnsi="Times New Roman"/>
        </w:rPr>
        <w:t>Orbeta</w:t>
      </w:r>
      <w:proofErr w:type="spellEnd"/>
      <w:r w:rsidRPr="006F1FC3">
        <w:rPr>
          <w:rFonts w:ascii="Times New Roman" w:hAnsi="Times New Roman"/>
        </w:rPr>
        <w:t xml:space="preserve"> Jr</w:t>
      </w:r>
      <w:r>
        <w:rPr>
          <w:rFonts w:ascii="Times New Roman" w:hAnsi="Times New Roman"/>
        </w:rPr>
        <w:t>.</w:t>
      </w:r>
      <w:r w:rsidRPr="006F1FC3">
        <w:rPr>
          <w:rFonts w:ascii="Times New Roman" w:hAnsi="Times New Roman"/>
        </w:rPr>
        <w:t xml:space="preserve"> (2009)). However, some other </w:t>
      </w:r>
      <w:r w:rsidRPr="006F1FC3">
        <w:rPr>
          <w:rFonts w:ascii="Times New Roman" w:hAnsi="Times New Roman"/>
          <w:color w:val="000000"/>
        </w:rPr>
        <w:t>studies have the opposite view</w:t>
      </w:r>
      <w:r w:rsidRPr="006F1FC3">
        <w:rPr>
          <w:rFonts w:ascii="Times New Roman" w:hAnsi="Times New Roman"/>
        </w:rPr>
        <w:t xml:space="preserve"> (Adams (1989), Massey, </w:t>
      </w:r>
      <w:proofErr w:type="spellStart"/>
      <w:r w:rsidRPr="006F1FC3">
        <w:rPr>
          <w:rFonts w:ascii="Times New Roman" w:hAnsi="Times New Roman"/>
        </w:rPr>
        <w:t>Goldring</w:t>
      </w:r>
      <w:proofErr w:type="spellEnd"/>
      <w:r w:rsidRPr="006F1FC3">
        <w:rPr>
          <w:rFonts w:ascii="Times New Roman" w:hAnsi="Times New Roman"/>
        </w:rPr>
        <w:t xml:space="preserve">, and Durand (1994), </w:t>
      </w:r>
      <w:proofErr w:type="spellStart"/>
      <w:r w:rsidRPr="006F1FC3">
        <w:rPr>
          <w:rFonts w:ascii="Times New Roman" w:hAnsi="Times New Roman"/>
        </w:rPr>
        <w:t>Pernia</w:t>
      </w:r>
      <w:proofErr w:type="spellEnd"/>
      <w:r w:rsidRPr="006F1FC3">
        <w:rPr>
          <w:rFonts w:ascii="Times New Roman" w:hAnsi="Times New Roman"/>
        </w:rPr>
        <w:t xml:space="preserve"> (2005, 2008), King (1997)).</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Theoretically, whether migration and remittances contribute to increasing or decreasing inequality depends on who is migrating and remitting. If migrants come from poorer segments of the population, their remittances are more likely to contribute to a reduction in inequality because, on average, poorer families are going to receive the extra income from remittances. On the other hand, if migrants tend to be from already richer households, remittances are more likely to increase inequality since comparatively richer families will benefit from the extra income. This point is emphasized </w:t>
      </w:r>
      <w:r>
        <w:rPr>
          <w:rFonts w:ascii="Times New Roman" w:hAnsi="Times New Roman"/>
        </w:rPr>
        <w:t xml:space="preserve">by Jones (1998) and Stark, Taylor and </w:t>
      </w:r>
      <w:proofErr w:type="spellStart"/>
      <w:r>
        <w:rPr>
          <w:rFonts w:ascii="Times New Roman" w:hAnsi="Times New Roman"/>
        </w:rPr>
        <w:t>Yitzhaki</w:t>
      </w:r>
      <w:proofErr w:type="spellEnd"/>
      <w:r w:rsidRPr="006F1FC3">
        <w:rPr>
          <w:rFonts w:ascii="Times New Roman" w:hAnsi="Times New Roman"/>
        </w:rPr>
        <w:t xml:space="preserve"> (1986). </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Migration, like the adoption of a new production technology, initially entails high costs and risks. The costs and risks are likely to be especially high in the case of international migration.  The effect of remittances on inequalities over time depends on how migration facilitating information and contacts become diffused. When information is costly and scarce, migration is subject to a significant degree of uncertainty. Given this fact, pioneer migrants tend to come from households at the upper, middle or top of the sending area’s income distribution since they are the ones best </w:t>
      </w:r>
      <w:r w:rsidRPr="006F1FC3">
        <w:rPr>
          <w:rFonts w:ascii="Times New Roman" w:hAnsi="Times New Roman"/>
        </w:rPr>
        <w:lastRenderedPageBreak/>
        <w:t>equipped to make a high risk, high-return 'investment' and the income they send home in the form of remittances is therefore likely to widen income inequalities in migrant source areas. The role of remittances in the overall household income distribution at this initial stage depends upon the magnitude of remittances in relation to income from other sources, as well as upon the position (in terms of total income) of remittance-receiving households in the income distribution of the place of o</w:t>
      </w:r>
      <w:r>
        <w:rPr>
          <w:rFonts w:ascii="Times New Roman" w:hAnsi="Times New Roman"/>
        </w:rPr>
        <w:t>rigin (</w:t>
      </w:r>
      <w:proofErr w:type="spellStart"/>
      <w:r>
        <w:rPr>
          <w:rFonts w:ascii="Times New Roman" w:hAnsi="Times New Roman"/>
        </w:rPr>
        <w:t>Portes</w:t>
      </w:r>
      <w:proofErr w:type="spellEnd"/>
      <w:r>
        <w:rPr>
          <w:rFonts w:ascii="Times New Roman" w:hAnsi="Times New Roman"/>
        </w:rPr>
        <w:t xml:space="preserve"> and </w:t>
      </w:r>
      <w:proofErr w:type="spellStart"/>
      <w:r>
        <w:rPr>
          <w:rFonts w:ascii="Times New Roman" w:hAnsi="Times New Roman"/>
        </w:rPr>
        <w:t>Rumbaut</w:t>
      </w:r>
      <w:proofErr w:type="spellEnd"/>
      <w:r>
        <w:rPr>
          <w:rFonts w:ascii="Times New Roman" w:hAnsi="Times New Roman"/>
        </w:rPr>
        <w:t xml:space="preserve"> (1990), Lipton (</w:t>
      </w:r>
      <w:r w:rsidRPr="006F1FC3">
        <w:rPr>
          <w:rFonts w:ascii="Times New Roman" w:hAnsi="Times New Roman"/>
        </w:rPr>
        <w:t>1980</w:t>
      </w:r>
      <w:r>
        <w:rPr>
          <w:rFonts w:ascii="Times New Roman" w:hAnsi="Times New Roman"/>
        </w:rPr>
        <w:t>)</w:t>
      </w:r>
      <w:r w:rsidRPr="006F1FC3">
        <w:rPr>
          <w:rFonts w:ascii="Times New Roman" w:hAnsi="Times New Roman"/>
        </w:rPr>
        <w:t xml:space="preserve">, Stark, Taylor and </w:t>
      </w:r>
      <w:proofErr w:type="spellStart"/>
      <w:r w:rsidRPr="006F1FC3">
        <w:rPr>
          <w:rFonts w:ascii="Times New Roman" w:hAnsi="Times New Roman"/>
        </w:rPr>
        <w:t>Yitzhaki</w:t>
      </w:r>
      <w:proofErr w:type="spellEnd"/>
      <w:r w:rsidRPr="006F1FC3">
        <w:rPr>
          <w:rFonts w:ascii="Times New Roman" w:hAnsi="Times New Roman"/>
        </w:rPr>
        <w:t xml:space="preserve"> </w:t>
      </w:r>
      <w:r>
        <w:rPr>
          <w:rFonts w:ascii="Times New Roman" w:hAnsi="Times New Roman"/>
        </w:rPr>
        <w:t>(</w:t>
      </w:r>
      <w:r w:rsidRPr="006F1FC3">
        <w:rPr>
          <w:rFonts w:ascii="Times New Roman" w:hAnsi="Times New Roman"/>
        </w:rPr>
        <w:t>1986</w:t>
      </w:r>
      <w:r>
        <w:rPr>
          <w:rFonts w:ascii="Times New Roman" w:hAnsi="Times New Roman"/>
        </w:rPr>
        <w:t>)</w:t>
      </w:r>
      <w:r w:rsidRPr="006F1FC3">
        <w:rPr>
          <w:rFonts w:ascii="Times New Roman" w:hAnsi="Times New Roman"/>
        </w:rPr>
        <w:t>, Massey,</w:t>
      </w:r>
      <w:r>
        <w:rPr>
          <w:rFonts w:ascii="Times New Roman" w:hAnsi="Times New Roman"/>
        </w:rPr>
        <w:t xml:space="preserve"> </w:t>
      </w:r>
      <w:proofErr w:type="spellStart"/>
      <w:r>
        <w:rPr>
          <w:rFonts w:ascii="Times New Roman" w:hAnsi="Times New Roman"/>
        </w:rPr>
        <w:t>Goldring</w:t>
      </w:r>
      <w:proofErr w:type="spellEnd"/>
      <w:r>
        <w:rPr>
          <w:rFonts w:ascii="Times New Roman" w:hAnsi="Times New Roman"/>
        </w:rPr>
        <w:t xml:space="preserve"> and Durand (1994)</w:t>
      </w:r>
      <w:r w:rsidRPr="006F1FC3">
        <w:rPr>
          <w:rFonts w:ascii="Times New Roman" w:hAnsi="Times New Roman"/>
        </w:rPr>
        <w:t xml:space="preserve">, </w:t>
      </w:r>
      <w:proofErr w:type="spellStart"/>
      <w:r w:rsidRPr="006F1FC3">
        <w:rPr>
          <w:rFonts w:ascii="Times New Roman" w:hAnsi="Times New Roman"/>
        </w:rPr>
        <w:t>Koechlin</w:t>
      </w:r>
      <w:proofErr w:type="spellEnd"/>
      <w:r w:rsidRPr="006F1FC3">
        <w:rPr>
          <w:rFonts w:ascii="Times New Roman" w:hAnsi="Times New Roman"/>
        </w:rPr>
        <w:t xml:space="preserve"> and Leon (2006))</w:t>
      </w:r>
    </w:p>
    <w:p w:rsidR="00D430C4" w:rsidRPr="006F1FC3" w:rsidRDefault="00D430C4" w:rsidP="00C82E66">
      <w:pPr>
        <w:spacing w:after="120" w:line="360" w:lineRule="auto"/>
        <w:jc w:val="both"/>
        <w:rPr>
          <w:rFonts w:ascii="Times New Roman" w:hAnsi="Times New Roman"/>
          <w:b/>
        </w:rPr>
      </w:pPr>
      <w:r w:rsidRPr="006F1FC3">
        <w:rPr>
          <w:rFonts w:ascii="Times New Roman" w:hAnsi="Times New Roman"/>
          <w:b/>
        </w:rPr>
        <w:t>3.</w:t>
      </w:r>
      <w:r w:rsidR="00C82E66">
        <w:rPr>
          <w:rFonts w:ascii="Times New Roman" w:hAnsi="Times New Roman"/>
          <w:b/>
        </w:rPr>
        <w:t>0</w:t>
      </w:r>
      <w:r>
        <w:rPr>
          <w:rFonts w:ascii="Times New Roman" w:hAnsi="Times New Roman"/>
          <w:b/>
        </w:rPr>
        <w:t xml:space="preserve"> </w:t>
      </w:r>
      <w:r w:rsidRPr="006F1FC3">
        <w:rPr>
          <w:rFonts w:ascii="Times New Roman" w:hAnsi="Times New Roman"/>
          <w:b/>
        </w:rPr>
        <w:t>Data and Methodology</w:t>
      </w:r>
    </w:p>
    <w:p w:rsidR="00C82E66" w:rsidRPr="000261E5" w:rsidRDefault="00D430C4" w:rsidP="000261E5">
      <w:pPr>
        <w:spacing w:after="120" w:line="360" w:lineRule="auto"/>
        <w:jc w:val="both"/>
        <w:rPr>
          <w:rFonts w:ascii="Times New Roman" w:hAnsi="Times New Roman"/>
        </w:rPr>
      </w:pPr>
      <w:r w:rsidRPr="006F1FC3">
        <w:rPr>
          <w:rFonts w:ascii="Times New Roman" w:hAnsi="Times New Roman"/>
        </w:rPr>
        <w:t xml:space="preserve">The Centre for Development Studies (CDS) </w:t>
      </w:r>
      <w:proofErr w:type="spellStart"/>
      <w:r w:rsidRPr="006F1FC3">
        <w:rPr>
          <w:rFonts w:ascii="Times New Roman" w:hAnsi="Times New Roman"/>
        </w:rPr>
        <w:t>Thiruvanathapuram</w:t>
      </w:r>
      <w:proofErr w:type="spellEnd"/>
      <w:r w:rsidRPr="006F1FC3">
        <w:rPr>
          <w:rFonts w:ascii="Times New Roman" w:hAnsi="Times New Roman"/>
        </w:rPr>
        <w:t xml:space="preserve">, Kerala conducts periodic surveys to monitor the current status of emigration from and return emigration to the state of Kerala.  So far five such surveys have been carried out in 1998, 2003, 2007, 2008 and 2011. KMS also has a unique panel data set of those households who happened to be surveyed for both 1998 and 2008 rounds. Information from these surveys constitutes one of the few reliable sources of information related to emigration from Kerala. This paper seeks to understand role of migration in Kerala’s inequality scenario using data generated by CDS – MMS. For the sake of convenience MMS will be hitherto referred as Kerala Migration Survey (KMS), the name given to 1998, 2008 and 2011 rounds of MMS. </w:t>
      </w:r>
    </w:p>
    <w:p w:rsidR="00D430C4" w:rsidRPr="00C82E66" w:rsidRDefault="00D430C4" w:rsidP="00C82E66">
      <w:pPr>
        <w:spacing w:after="120" w:line="360" w:lineRule="auto"/>
        <w:jc w:val="both"/>
        <w:rPr>
          <w:rFonts w:ascii="Times New Roman" w:hAnsi="Times New Roman"/>
          <w:b/>
        </w:rPr>
      </w:pPr>
      <w:r w:rsidRPr="00C82E66">
        <w:rPr>
          <w:rFonts w:ascii="Times New Roman" w:hAnsi="Times New Roman"/>
          <w:b/>
        </w:rPr>
        <w:t>Methodology</w:t>
      </w:r>
    </w:p>
    <w:p w:rsidR="00D430C4" w:rsidRPr="00C82E66" w:rsidRDefault="00D430C4" w:rsidP="00C82E66">
      <w:pPr>
        <w:spacing w:after="120" w:line="360" w:lineRule="auto"/>
        <w:jc w:val="both"/>
        <w:rPr>
          <w:rFonts w:ascii="Times New Roman" w:hAnsi="Times New Roman"/>
        </w:rPr>
      </w:pPr>
      <w:r w:rsidRPr="00C82E66">
        <w:rPr>
          <w:rFonts w:ascii="Times New Roman" w:hAnsi="Times New Roman"/>
        </w:rPr>
        <w:t>Analysis using proxies of Income</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Most of the aforesaid studies on migration – inequality relationship use </w:t>
      </w:r>
      <w:r w:rsidRPr="006F1FC3">
        <w:rPr>
          <w:rFonts w:ascii="Times New Roman" w:hAnsi="Times New Roman"/>
        </w:rPr>
        <w:lastRenderedPageBreak/>
        <w:t>income or proxies of income like household expenditure to understand the role of migration in inequality.</w:t>
      </w:r>
      <w:r>
        <w:rPr>
          <w:rFonts w:ascii="Times New Roman" w:hAnsi="Times New Roman"/>
        </w:rPr>
        <w:t xml:space="preserve"> </w:t>
      </w:r>
      <w:r w:rsidRPr="006F1FC3">
        <w:rPr>
          <w:rFonts w:ascii="Times New Roman" w:hAnsi="Times New Roman"/>
        </w:rPr>
        <w:t xml:space="preserve">These studies believe that income or its proxies is the best tool to understand standard of living. Decomposition of </w:t>
      </w:r>
      <w:proofErr w:type="spellStart"/>
      <w:r w:rsidRPr="006F1FC3">
        <w:rPr>
          <w:rFonts w:ascii="Times New Roman" w:hAnsi="Times New Roman"/>
        </w:rPr>
        <w:t>Gini</w:t>
      </w:r>
      <w:proofErr w:type="spellEnd"/>
      <w:r w:rsidRPr="006F1FC3">
        <w:rPr>
          <w:rFonts w:ascii="Times New Roman" w:hAnsi="Times New Roman"/>
        </w:rPr>
        <w:t xml:space="preserve"> coefficient of income by source is the dominant method adopted to explore the migration inequality link. As far as the information about income of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no data is available in KMS. However data on household consumer expenditure, saving and investment are available in 2008 round of KMS. Thus an analysis using consumer expenditure will give only a static picture. Still an effort has been made to make use of the available data as it can clearly reveal the direction of the impact of migration on inequality.</w:t>
      </w:r>
    </w:p>
    <w:p w:rsidR="00D430C4" w:rsidRPr="006F1FC3" w:rsidRDefault="00D430C4" w:rsidP="00C82E66">
      <w:pPr>
        <w:spacing w:after="120" w:line="360" w:lineRule="auto"/>
        <w:rPr>
          <w:rFonts w:ascii="Times New Roman" w:hAnsi="Times New Roman"/>
        </w:rPr>
      </w:pPr>
      <w:r w:rsidRPr="006F1FC3">
        <w:rPr>
          <w:rFonts w:ascii="Times New Roman" w:hAnsi="Times New Roman"/>
        </w:rPr>
        <w:t xml:space="preserve">Following the method suggested by </w:t>
      </w:r>
      <w:proofErr w:type="spellStart"/>
      <w:r w:rsidRPr="006F1FC3">
        <w:rPr>
          <w:rFonts w:ascii="Times New Roman" w:hAnsi="Times New Roman"/>
        </w:rPr>
        <w:t>Lerman</w:t>
      </w:r>
      <w:proofErr w:type="spellEnd"/>
      <w:r w:rsidRPr="006F1FC3">
        <w:rPr>
          <w:rFonts w:ascii="Times New Roman" w:hAnsi="Times New Roman"/>
        </w:rPr>
        <w:t xml:space="preserve"> and </w:t>
      </w:r>
      <w:proofErr w:type="spellStart"/>
      <w:r w:rsidRPr="006F1FC3">
        <w:rPr>
          <w:rFonts w:ascii="Times New Roman" w:hAnsi="Times New Roman"/>
        </w:rPr>
        <w:t>Yitzhaki</w:t>
      </w:r>
      <w:proofErr w:type="spellEnd"/>
      <w:r w:rsidRPr="006F1FC3">
        <w:rPr>
          <w:rFonts w:ascii="Times New Roman" w:hAnsi="Times New Roman"/>
        </w:rPr>
        <w:t xml:space="preserve"> (1985) the </w:t>
      </w:r>
      <w:proofErr w:type="spellStart"/>
      <w:r w:rsidRPr="006F1FC3">
        <w:rPr>
          <w:rFonts w:ascii="Times New Roman" w:hAnsi="Times New Roman"/>
        </w:rPr>
        <w:t>Gini</w:t>
      </w:r>
      <w:proofErr w:type="spellEnd"/>
      <w:r w:rsidRPr="006F1FC3">
        <w:rPr>
          <w:rFonts w:ascii="Times New Roman" w:hAnsi="Times New Roman"/>
        </w:rPr>
        <w:t xml:space="preserve"> coefficient for total income, G, can be represented as </w:t>
      </w:r>
    </w:p>
    <w:p w:rsidR="00D430C4" w:rsidRPr="006F1FC3" w:rsidRDefault="00D430C4" w:rsidP="00C82E66">
      <w:pPr>
        <w:spacing w:after="120" w:line="360" w:lineRule="auto"/>
        <w:rPr>
          <w:rFonts w:ascii="Times New Roman" w:hAnsi="Times New Roman"/>
        </w:rPr>
      </w:pPr>
      <m:oMath>
        <m:r>
          <w:rPr>
            <w:rFonts w:ascii="Cambria Math" w:hAnsi="Cambria Math"/>
          </w:rPr>
          <m:t>G=</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k</m:t>
                </m:r>
              </m:sub>
            </m:sSub>
          </m:e>
        </m:nary>
        <m:sSub>
          <m:sSubPr>
            <m:ctrlPr>
              <w:rPr>
                <w:rFonts w:ascii="Cambria Math" w:hAnsi="Cambria Math"/>
                <w:i/>
              </w:rPr>
            </m:ctrlPr>
          </m:sSubPr>
          <m:e>
            <m:r>
              <w:rPr>
                <w:rFonts w:ascii="Cambria Math" w:hAnsi="Cambria Math"/>
              </w:rPr>
              <m:t>G</m:t>
            </m:r>
          </m:e>
          <m:sub>
            <m:r>
              <w:rPr>
                <w:rFonts w:ascii="Cambria Math" w:hAnsi="Cambria Math"/>
              </w:rPr>
              <m:t>k</m:t>
            </m:r>
          </m:sub>
        </m:sSub>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 xml:space="preserve"> </m:t>
        </m:r>
      </m:oMath>
      <w:r w:rsidRPr="006F1FC3">
        <w:rPr>
          <w:rFonts w:ascii="Times New Roman" w:hAnsi="Times New Roman"/>
        </w:rPr>
        <w:t>Where</w:t>
      </w:r>
    </w:p>
    <w:p w:rsidR="00D430C4" w:rsidRPr="006F1FC3" w:rsidRDefault="00D430C4" w:rsidP="00C82E66">
      <w:pPr>
        <w:spacing w:after="120" w:line="360" w:lineRule="auto"/>
        <w:rPr>
          <w:rFonts w:ascii="Times New Roman" w:hAnsi="Times New Roman"/>
        </w:rPr>
      </w:pPr>
      <w:proofErr w:type="spellStart"/>
      <w:proofErr w:type="gramStart"/>
      <w:r w:rsidRPr="006F1FC3">
        <w:rPr>
          <w:rFonts w:ascii="Times New Roman" w:hAnsi="Times New Roman"/>
        </w:rPr>
        <w:t>S</w:t>
      </w:r>
      <w:r w:rsidRPr="006F1FC3">
        <w:rPr>
          <w:rFonts w:ascii="Times New Roman" w:hAnsi="Times New Roman"/>
          <w:vertAlign w:val="subscript"/>
        </w:rPr>
        <w:t>k</w:t>
      </w:r>
      <w:proofErr w:type="spellEnd"/>
      <w:r w:rsidRPr="006F1FC3">
        <w:rPr>
          <w:rFonts w:ascii="Times New Roman" w:hAnsi="Times New Roman"/>
        </w:rPr>
        <w:t xml:space="preserve">  =</w:t>
      </w:r>
      <w:proofErr w:type="gramEnd"/>
      <w:r w:rsidRPr="006F1FC3">
        <w:rPr>
          <w:rFonts w:ascii="Times New Roman" w:hAnsi="Times New Roman"/>
        </w:rPr>
        <w:t xml:space="preserve">   share of source k in total income</w:t>
      </w:r>
    </w:p>
    <w:p w:rsidR="00D430C4" w:rsidRPr="006F1FC3" w:rsidRDefault="00D430C4" w:rsidP="00C82E66">
      <w:pPr>
        <w:spacing w:after="120" w:line="360" w:lineRule="auto"/>
        <w:rPr>
          <w:rFonts w:ascii="Times New Roman" w:hAnsi="Times New Roman"/>
        </w:rPr>
      </w:pPr>
      <w:proofErr w:type="gramStart"/>
      <w:r w:rsidRPr="006F1FC3">
        <w:rPr>
          <w:rFonts w:ascii="Times New Roman" w:hAnsi="Times New Roman"/>
        </w:rPr>
        <w:t>G</w:t>
      </w:r>
      <w:r w:rsidRPr="006F1FC3">
        <w:rPr>
          <w:rFonts w:ascii="Times New Roman" w:hAnsi="Times New Roman"/>
          <w:vertAlign w:val="subscript"/>
        </w:rPr>
        <w:t>K</w:t>
      </w:r>
      <w:r w:rsidRPr="006F1FC3">
        <w:rPr>
          <w:rFonts w:ascii="Times New Roman" w:hAnsi="Times New Roman"/>
        </w:rPr>
        <w:t xml:space="preserve">  =</w:t>
      </w:r>
      <w:proofErr w:type="gramEnd"/>
      <w:r w:rsidRPr="006F1FC3">
        <w:rPr>
          <w:rFonts w:ascii="Times New Roman" w:hAnsi="Times New Roman"/>
        </w:rPr>
        <w:t xml:space="preserve"> the source </w:t>
      </w:r>
      <w:proofErr w:type="spellStart"/>
      <w:r w:rsidRPr="006F1FC3">
        <w:rPr>
          <w:rFonts w:ascii="Times New Roman" w:hAnsi="Times New Roman"/>
        </w:rPr>
        <w:t>Gini</w:t>
      </w:r>
      <w:proofErr w:type="spellEnd"/>
    </w:p>
    <w:p w:rsidR="00D430C4" w:rsidRPr="006F1FC3" w:rsidRDefault="00D430C4" w:rsidP="00C82E66">
      <w:pPr>
        <w:spacing w:after="120" w:line="360" w:lineRule="auto"/>
        <w:rPr>
          <w:rFonts w:ascii="Times New Roman" w:hAnsi="Times New Roman"/>
        </w:rPr>
      </w:pPr>
      <w:r w:rsidRPr="006F1FC3">
        <w:rPr>
          <w:rFonts w:ascii="Times New Roman" w:hAnsi="Times New Roman"/>
        </w:rPr>
        <w:t>R</w:t>
      </w:r>
      <w:r w:rsidRPr="006F1FC3">
        <w:rPr>
          <w:rFonts w:ascii="Times New Roman" w:hAnsi="Times New Roman"/>
          <w:vertAlign w:val="subscript"/>
        </w:rPr>
        <w:t xml:space="preserve">K </w:t>
      </w:r>
      <w:r w:rsidRPr="006F1FC3">
        <w:rPr>
          <w:rFonts w:ascii="Times New Roman" w:hAnsi="Times New Roman"/>
        </w:rPr>
        <w:t xml:space="preserve">   </w:t>
      </w:r>
      <w:proofErr w:type="gramStart"/>
      <w:r w:rsidRPr="006F1FC3">
        <w:rPr>
          <w:rFonts w:ascii="Times New Roman" w:hAnsi="Times New Roman"/>
        </w:rPr>
        <w:t xml:space="preserve">=  </w:t>
      </w:r>
      <w:proofErr w:type="spellStart"/>
      <w:r w:rsidRPr="006F1FC3">
        <w:rPr>
          <w:rFonts w:ascii="Times New Roman" w:hAnsi="Times New Roman"/>
        </w:rPr>
        <w:t>Gini</w:t>
      </w:r>
      <w:proofErr w:type="spellEnd"/>
      <w:proofErr w:type="gramEnd"/>
      <w:r w:rsidRPr="006F1FC3">
        <w:rPr>
          <w:rFonts w:ascii="Times New Roman" w:hAnsi="Times New Roman"/>
        </w:rPr>
        <w:t xml:space="preserve"> correlation of income from source k with the distribution of total income</w:t>
      </w:r>
    </w:p>
    <w:p w:rsidR="00D430C4" w:rsidRPr="006F1FC3" w:rsidRDefault="00D430C4" w:rsidP="00C82E66">
      <w:pPr>
        <w:spacing w:after="120" w:line="360" w:lineRule="auto"/>
        <w:rPr>
          <w:rFonts w:ascii="Times New Roman" w:hAnsi="Times New Roman"/>
        </w:rPr>
      </w:pPr>
      <w:r w:rsidRPr="006F1FC3">
        <w:rPr>
          <w:rFonts w:ascii="Times New Roman" w:hAnsi="Times New Roman"/>
        </w:rPr>
        <w:t xml:space="preserve">Stark, Taylor and </w:t>
      </w:r>
      <w:proofErr w:type="spellStart"/>
      <w:r w:rsidRPr="006F1FC3">
        <w:rPr>
          <w:rFonts w:ascii="Times New Roman" w:hAnsi="Times New Roman"/>
        </w:rPr>
        <w:t>Yitzhaki</w:t>
      </w:r>
      <w:proofErr w:type="spellEnd"/>
      <w:r w:rsidRPr="006F1FC3">
        <w:rPr>
          <w:rFonts w:ascii="Times New Roman" w:hAnsi="Times New Roman"/>
        </w:rPr>
        <w:t xml:space="preserve"> (1986) following </w:t>
      </w:r>
      <w:proofErr w:type="spellStart"/>
      <w:r w:rsidRPr="006F1FC3">
        <w:rPr>
          <w:rFonts w:ascii="Times New Roman" w:hAnsi="Times New Roman"/>
        </w:rPr>
        <w:t>Lerman</w:t>
      </w:r>
      <w:proofErr w:type="spellEnd"/>
      <w:r w:rsidRPr="006F1FC3">
        <w:rPr>
          <w:rFonts w:ascii="Times New Roman" w:hAnsi="Times New Roman"/>
        </w:rPr>
        <w:t xml:space="preserve"> and </w:t>
      </w:r>
      <w:proofErr w:type="spellStart"/>
      <w:r w:rsidRPr="006F1FC3">
        <w:rPr>
          <w:rFonts w:ascii="Times New Roman" w:hAnsi="Times New Roman"/>
        </w:rPr>
        <w:t>Yitzhaki</w:t>
      </w:r>
      <w:proofErr w:type="spellEnd"/>
      <w:r w:rsidRPr="006F1FC3">
        <w:rPr>
          <w:rFonts w:ascii="Times New Roman" w:hAnsi="Times New Roman"/>
        </w:rPr>
        <w:t xml:space="preserve"> (1985) note that the influence of any income component upon total income inequality depends on: </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1. How important the income source is with respect to total income (</w:t>
      </w:r>
      <w:proofErr w:type="spellStart"/>
      <w:proofErr w:type="gramStart"/>
      <w:r w:rsidRPr="006F1FC3">
        <w:rPr>
          <w:rFonts w:ascii="Times New Roman" w:hAnsi="Times New Roman"/>
        </w:rPr>
        <w:t>S</w:t>
      </w:r>
      <w:r w:rsidRPr="006F1FC3">
        <w:rPr>
          <w:rFonts w:ascii="Times New Roman" w:hAnsi="Times New Roman"/>
          <w:vertAlign w:val="subscript"/>
        </w:rPr>
        <w:t>k</w:t>
      </w:r>
      <w:proofErr w:type="spellEnd"/>
      <w:proofErr w:type="gramEnd"/>
      <w:r w:rsidRPr="006F1FC3">
        <w:rPr>
          <w:rFonts w:ascii="Times New Roman" w:hAnsi="Times New Roman"/>
        </w:rPr>
        <w:t>)</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2. How equally or unequally distributed the income source is (G</w:t>
      </w:r>
      <w:r w:rsidRPr="006F1FC3">
        <w:rPr>
          <w:rFonts w:ascii="Times New Roman" w:hAnsi="Times New Roman"/>
          <w:vertAlign w:val="subscript"/>
        </w:rPr>
        <w:t>K</w:t>
      </w:r>
      <w:r w:rsidRPr="006F1FC3">
        <w:rPr>
          <w:rFonts w:ascii="Times New Roman" w:hAnsi="Times New Roman"/>
        </w:rPr>
        <w:t>)</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lastRenderedPageBreak/>
        <w:t>3. How the income source and the distribution of total income are correlated (R</w:t>
      </w:r>
      <w:r w:rsidRPr="006F1FC3">
        <w:rPr>
          <w:rFonts w:ascii="Times New Roman" w:hAnsi="Times New Roman"/>
          <w:vertAlign w:val="subscript"/>
        </w:rPr>
        <w:t>K</w:t>
      </w:r>
      <w:r w:rsidRPr="006F1FC3">
        <w:rPr>
          <w:rFonts w:ascii="Times New Roman" w:hAnsi="Times New Roman"/>
        </w:rPr>
        <w:t>).</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This logic is used to derive the method of </w:t>
      </w:r>
      <w:proofErr w:type="spellStart"/>
      <w:r w:rsidRPr="006F1FC3">
        <w:rPr>
          <w:rFonts w:ascii="Times New Roman" w:hAnsi="Times New Roman"/>
        </w:rPr>
        <w:t>Gini</w:t>
      </w:r>
      <w:proofErr w:type="spellEnd"/>
      <w:r w:rsidRPr="006F1FC3">
        <w:rPr>
          <w:rFonts w:ascii="Times New Roman" w:hAnsi="Times New Roman"/>
        </w:rPr>
        <w:t xml:space="preserve"> decomposition. By using the method of </w:t>
      </w:r>
      <w:proofErr w:type="spellStart"/>
      <w:r w:rsidRPr="006F1FC3">
        <w:rPr>
          <w:rFonts w:ascii="Times New Roman" w:hAnsi="Times New Roman"/>
        </w:rPr>
        <w:t>Gini</w:t>
      </w:r>
      <w:proofErr w:type="spellEnd"/>
      <w:r w:rsidRPr="006F1FC3">
        <w:rPr>
          <w:rFonts w:ascii="Times New Roman" w:hAnsi="Times New Roman"/>
        </w:rPr>
        <w:t xml:space="preserve"> decomposition we can estimate the effect that 1 percentage change in income from source k will have on total income inequality. This effect is given by</w:t>
      </w:r>
    </w:p>
    <w:p w:rsidR="00D430C4" w:rsidRPr="006F1FC3" w:rsidRDefault="00D430C4" w:rsidP="00C82E66">
      <w:pPr>
        <w:spacing w:after="120" w:line="360" w:lineRule="auto"/>
        <w:rPr>
          <w:rFonts w:ascii="Times New Roman" w:hAnsi="Times New Roman"/>
        </w:rPr>
      </w:pPr>
      <w:r w:rsidRPr="006F1FC3">
        <w:rPr>
          <w:rFonts w:ascii="Times New Roman" w:hAnsi="Times New Roman"/>
        </w:rPr>
        <w:t>MI = ((</w:t>
      </w:r>
      <w:proofErr w:type="spellStart"/>
      <w:proofErr w:type="gramStart"/>
      <w:r w:rsidRPr="006F1FC3">
        <w:rPr>
          <w:rFonts w:ascii="Times New Roman" w:hAnsi="Times New Roman"/>
        </w:rPr>
        <w:t>Sk</w:t>
      </w:r>
      <w:proofErr w:type="spellEnd"/>
      <w:proofErr w:type="gramEnd"/>
      <w:r w:rsidRPr="006F1FC3">
        <w:rPr>
          <w:rFonts w:ascii="Times New Roman" w:hAnsi="Times New Roman"/>
        </w:rPr>
        <w:t xml:space="preserve">* GK* RK)/ G) – </w:t>
      </w:r>
      <w:proofErr w:type="spellStart"/>
      <w:r w:rsidRPr="006F1FC3">
        <w:rPr>
          <w:rFonts w:ascii="Times New Roman" w:hAnsi="Times New Roman"/>
        </w:rPr>
        <w:t>Sk</w:t>
      </w:r>
      <w:proofErr w:type="spellEnd"/>
      <w:r w:rsidRPr="006F1FC3">
        <w:rPr>
          <w:rFonts w:ascii="Times New Roman" w:hAnsi="Times New Roman"/>
        </w:rPr>
        <w:t xml:space="preserve">  </w:t>
      </w:r>
    </w:p>
    <w:p w:rsidR="00D430C4" w:rsidRPr="006F1FC3" w:rsidRDefault="00D430C4" w:rsidP="00C82E66">
      <w:pPr>
        <w:spacing w:after="120" w:line="360" w:lineRule="auto"/>
        <w:rPr>
          <w:rFonts w:ascii="Times New Roman" w:hAnsi="Times New Roman"/>
        </w:rPr>
      </w:pPr>
      <w:proofErr w:type="gramStart"/>
      <w:r w:rsidRPr="006F1FC3">
        <w:rPr>
          <w:rFonts w:ascii="Times New Roman" w:hAnsi="Times New Roman"/>
        </w:rPr>
        <w:t>Where MI refers to marginal impact of change in an income source on inequality.</w:t>
      </w:r>
      <w:proofErr w:type="gramEnd"/>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This method is used by researchers worldwide due to its intuitive interpretability. We can ascertain the marginal impact of remittances on inequality. But unfortunately data on indicators for a proxy of income are available only in 2008 round of KMS that too for only 3000 households. Thus an analysis using consumer expenditure only gives a static picture. </w:t>
      </w:r>
    </w:p>
    <w:p w:rsidR="00D430C4" w:rsidRPr="00C82E66" w:rsidRDefault="00D430C4" w:rsidP="00C82E66">
      <w:pPr>
        <w:spacing w:after="120" w:line="360" w:lineRule="auto"/>
        <w:jc w:val="both"/>
        <w:rPr>
          <w:rFonts w:ascii="Times New Roman" w:hAnsi="Times New Roman"/>
          <w:b/>
        </w:rPr>
      </w:pPr>
      <w:r w:rsidRPr="00C82E66">
        <w:rPr>
          <w:rFonts w:ascii="Times New Roman" w:hAnsi="Times New Roman"/>
          <w:b/>
        </w:rPr>
        <w:t>Asset-Based Analysis</w:t>
      </w:r>
    </w:p>
    <w:p w:rsidR="00D430C4" w:rsidRPr="006F1FC3" w:rsidRDefault="00D430C4" w:rsidP="00C82E66">
      <w:pPr>
        <w:spacing w:after="120" w:line="360" w:lineRule="auto"/>
        <w:ind w:firstLine="720"/>
        <w:jc w:val="both"/>
        <w:rPr>
          <w:rFonts w:ascii="Times New Roman" w:hAnsi="Times New Roman"/>
        </w:rPr>
      </w:pPr>
      <w:r w:rsidRPr="006F1FC3">
        <w:rPr>
          <w:rFonts w:ascii="Times New Roman" w:hAnsi="Times New Roman"/>
        </w:rPr>
        <w:t>Studies have proved that when data on income or</w:t>
      </w:r>
      <w:r>
        <w:rPr>
          <w:rFonts w:ascii="Times New Roman" w:hAnsi="Times New Roman"/>
        </w:rPr>
        <w:t xml:space="preserve"> it’s proxies are not available, </w:t>
      </w:r>
      <w:r w:rsidRPr="006F1FC3">
        <w:rPr>
          <w:rFonts w:ascii="Times New Roman" w:hAnsi="Times New Roman"/>
        </w:rPr>
        <w:t>Asset-based indices of Standard of living (sometimes referred to as asset indices) can be used as an alternative tool for understanding household socio-economic positions (</w:t>
      </w:r>
      <w:proofErr w:type="spellStart"/>
      <w:r w:rsidRPr="006F1FC3">
        <w:rPr>
          <w:rFonts w:ascii="Times New Roman" w:hAnsi="Times New Roman"/>
        </w:rPr>
        <w:t>Filmer</w:t>
      </w:r>
      <w:proofErr w:type="spellEnd"/>
      <w:r w:rsidRPr="006F1FC3">
        <w:rPr>
          <w:rFonts w:ascii="Times New Roman" w:hAnsi="Times New Roman"/>
        </w:rPr>
        <w:t xml:space="preserve"> and Pritchett (1999), Morris et al.(2000), </w:t>
      </w:r>
      <w:proofErr w:type="spellStart"/>
      <w:r w:rsidRPr="006F1FC3">
        <w:rPr>
          <w:rFonts w:ascii="Times New Roman" w:hAnsi="Times New Roman"/>
        </w:rPr>
        <w:t>Sahn</w:t>
      </w:r>
      <w:proofErr w:type="spellEnd"/>
      <w:r w:rsidRPr="006F1FC3">
        <w:rPr>
          <w:rFonts w:ascii="Times New Roman" w:hAnsi="Times New Roman"/>
        </w:rPr>
        <w:t xml:space="preserve"> and </w:t>
      </w:r>
      <w:proofErr w:type="spellStart"/>
      <w:r w:rsidRPr="006F1FC3">
        <w:rPr>
          <w:rFonts w:ascii="Times New Roman" w:hAnsi="Times New Roman"/>
        </w:rPr>
        <w:t>St</w:t>
      </w:r>
      <w:r>
        <w:rPr>
          <w:rFonts w:ascii="Times New Roman" w:hAnsi="Times New Roman"/>
        </w:rPr>
        <w:t>ifel</w:t>
      </w:r>
      <w:proofErr w:type="spellEnd"/>
      <w:r>
        <w:rPr>
          <w:rFonts w:ascii="Times New Roman" w:hAnsi="Times New Roman"/>
        </w:rPr>
        <w:t xml:space="preserve"> (</w:t>
      </w:r>
      <w:r w:rsidRPr="006F1FC3">
        <w:rPr>
          <w:rFonts w:ascii="Times New Roman" w:hAnsi="Times New Roman"/>
        </w:rPr>
        <w:t xml:space="preserve">2003), </w:t>
      </w:r>
      <w:proofErr w:type="spellStart"/>
      <w:r w:rsidRPr="006F1FC3">
        <w:rPr>
          <w:rFonts w:ascii="Times New Roman" w:hAnsi="Times New Roman"/>
        </w:rPr>
        <w:t>Bollen</w:t>
      </w:r>
      <w:proofErr w:type="spellEnd"/>
      <w:r w:rsidRPr="006F1FC3">
        <w:rPr>
          <w:rFonts w:ascii="Times New Roman" w:hAnsi="Times New Roman"/>
        </w:rPr>
        <w:t xml:space="preserve"> et al.(2002), </w:t>
      </w:r>
      <w:proofErr w:type="spellStart"/>
      <w:r w:rsidRPr="006F1FC3">
        <w:rPr>
          <w:rFonts w:ascii="Times New Roman" w:hAnsi="Times New Roman"/>
        </w:rPr>
        <w:t>Bicego</w:t>
      </w:r>
      <w:proofErr w:type="spellEnd"/>
      <w:r w:rsidRPr="006F1FC3">
        <w:rPr>
          <w:rFonts w:ascii="Times New Roman" w:hAnsi="Times New Roman"/>
        </w:rPr>
        <w:t xml:space="preserve"> et al.(2003),</w:t>
      </w:r>
      <w:r>
        <w:rPr>
          <w:rFonts w:ascii="Times New Roman" w:hAnsi="Times New Roman"/>
        </w:rPr>
        <w:t xml:space="preserve"> </w:t>
      </w:r>
      <w:proofErr w:type="spellStart"/>
      <w:r w:rsidRPr="006F1FC3">
        <w:rPr>
          <w:rFonts w:ascii="Times New Roman" w:hAnsi="Times New Roman"/>
        </w:rPr>
        <w:t>Schellenberg</w:t>
      </w:r>
      <w:proofErr w:type="spellEnd"/>
      <w:r w:rsidRPr="006F1FC3">
        <w:rPr>
          <w:rFonts w:ascii="Times New Roman" w:hAnsi="Times New Roman"/>
        </w:rPr>
        <w:t xml:space="preserve"> et al.(2003),</w:t>
      </w:r>
      <w:r>
        <w:rPr>
          <w:rFonts w:ascii="Times New Roman" w:hAnsi="Times New Roman"/>
        </w:rPr>
        <w:t xml:space="preserve"> </w:t>
      </w:r>
      <w:proofErr w:type="spellStart"/>
      <w:r w:rsidRPr="006F1FC3">
        <w:rPr>
          <w:rFonts w:ascii="Times New Roman" w:hAnsi="Times New Roman"/>
        </w:rPr>
        <w:t>Sastry</w:t>
      </w:r>
      <w:proofErr w:type="spellEnd"/>
      <w:r w:rsidRPr="006F1FC3">
        <w:rPr>
          <w:rFonts w:ascii="Times New Roman" w:hAnsi="Times New Roman"/>
        </w:rPr>
        <w:t xml:space="preserve"> (2004),</w:t>
      </w:r>
      <w:r>
        <w:rPr>
          <w:rFonts w:ascii="Times New Roman" w:hAnsi="Times New Roman"/>
        </w:rPr>
        <w:t xml:space="preserve"> </w:t>
      </w:r>
      <w:proofErr w:type="spellStart"/>
      <w:r w:rsidRPr="006F1FC3">
        <w:rPr>
          <w:rFonts w:ascii="Times New Roman" w:hAnsi="Times New Roman"/>
        </w:rPr>
        <w:t>Tarozzi</w:t>
      </w:r>
      <w:proofErr w:type="spellEnd"/>
      <w:r w:rsidRPr="006F1FC3">
        <w:rPr>
          <w:rFonts w:ascii="Times New Roman" w:hAnsi="Times New Roman"/>
        </w:rPr>
        <w:t xml:space="preserve"> and </w:t>
      </w:r>
      <w:proofErr w:type="spellStart"/>
      <w:r w:rsidRPr="006F1FC3">
        <w:rPr>
          <w:rFonts w:ascii="Times New Roman" w:hAnsi="Times New Roman"/>
        </w:rPr>
        <w:t>Mahajan</w:t>
      </w:r>
      <w:proofErr w:type="spellEnd"/>
      <w:r w:rsidRPr="006F1FC3">
        <w:rPr>
          <w:rFonts w:ascii="Times New Roman" w:hAnsi="Times New Roman"/>
        </w:rPr>
        <w:t xml:space="preserve"> (2005), Ainsworth and </w:t>
      </w:r>
      <w:proofErr w:type="spellStart"/>
      <w:r w:rsidRPr="006F1FC3">
        <w:rPr>
          <w:rFonts w:ascii="Times New Roman" w:hAnsi="Times New Roman"/>
        </w:rPr>
        <w:t>Filmer</w:t>
      </w:r>
      <w:proofErr w:type="spellEnd"/>
      <w:r w:rsidRPr="006F1FC3">
        <w:rPr>
          <w:rFonts w:ascii="Times New Roman" w:hAnsi="Times New Roman"/>
        </w:rPr>
        <w:t xml:space="preserve"> (2006)). The Asset index is often used in the empirical literature on poverty and inequality analysis as a proxy variable for household income. The use of the asset index to </w:t>
      </w:r>
      <w:r w:rsidRPr="006F1FC3">
        <w:rPr>
          <w:rFonts w:ascii="Times New Roman" w:hAnsi="Times New Roman"/>
        </w:rPr>
        <w:lastRenderedPageBreak/>
        <w:t xml:space="preserve">understand standard of living became popular after the pioneering work done by </w:t>
      </w:r>
      <w:proofErr w:type="spellStart"/>
      <w:r w:rsidRPr="006F1FC3">
        <w:rPr>
          <w:rFonts w:ascii="Times New Roman" w:hAnsi="Times New Roman"/>
        </w:rPr>
        <w:t>Filme</w:t>
      </w:r>
      <w:r>
        <w:rPr>
          <w:rFonts w:ascii="Times New Roman" w:hAnsi="Times New Roman"/>
        </w:rPr>
        <w:t>r</w:t>
      </w:r>
      <w:proofErr w:type="spellEnd"/>
      <w:r>
        <w:rPr>
          <w:rFonts w:ascii="Times New Roman" w:hAnsi="Times New Roman"/>
        </w:rPr>
        <w:t xml:space="preserve"> and Pritchett came out in 1999</w:t>
      </w:r>
      <w:r w:rsidRPr="006F1FC3">
        <w:rPr>
          <w:rFonts w:ascii="Times New Roman" w:hAnsi="Times New Roman"/>
        </w:rPr>
        <w:t xml:space="preserve">. As said above, this method employs data of household’s assets such as durable and semi-durable goods to describe household welfare instead of using household’s income or expenditure data. </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This paper seeks to understand the role of migration in inequality by using a </w:t>
      </w:r>
      <w:r w:rsidRPr="006F1FC3">
        <w:rPr>
          <w:rFonts w:ascii="Times New Roman" w:hAnsi="Times New Roman"/>
          <w:bCs/>
        </w:rPr>
        <w:t>Standard Of Living Index (SOLI)</w:t>
      </w:r>
      <w:r w:rsidRPr="006F1FC3">
        <w:rPr>
          <w:rFonts w:ascii="Times New Roman" w:hAnsi="Times New Roman"/>
        </w:rPr>
        <w:t xml:space="preserve"> which is a weighted average of the scale-free indicators of standard of living, the indicators being house characteristics, consumer durables characteristics, and land size. The weights are the scores of the first principal component generated through factor rotation method.</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SOLI is subjected to decomposition of Generalized Entropy (GE) measures of inequality by subgroups (migrants/non migrants) </w:t>
      </w:r>
    </w:p>
    <w:p w:rsidR="00D430C4" w:rsidRPr="00C82E66" w:rsidRDefault="00D430C4" w:rsidP="00C82E66">
      <w:pPr>
        <w:spacing w:after="120" w:line="360" w:lineRule="auto"/>
        <w:jc w:val="both"/>
        <w:rPr>
          <w:rFonts w:ascii="Times New Roman" w:hAnsi="Times New Roman"/>
          <w:b/>
        </w:rPr>
      </w:pPr>
      <w:r w:rsidRPr="00C82E66">
        <w:rPr>
          <w:rFonts w:ascii="Times New Roman" w:hAnsi="Times New Roman"/>
          <w:b/>
        </w:rPr>
        <w:t>Generalized Entropy (GE) Measures of inequality</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The general formula for Generalized Entropy (GE) Measures is given by </w:t>
      </w:r>
    </w:p>
    <w:p w:rsidR="00D430C4" w:rsidRPr="006F1FC3" w:rsidRDefault="00D430C4" w:rsidP="00C82E66">
      <w:pPr>
        <w:spacing w:after="120" w:line="360" w:lineRule="auto"/>
        <w:jc w:val="both"/>
        <w:rPr>
          <w:rFonts w:ascii="Times New Roman" w:hAnsi="Times New Roman"/>
        </w:rPr>
      </w:pPr>
      <w:r>
        <w:rPr>
          <w:rFonts w:ascii="Times New Roman" w:hAnsi="Times New Roman"/>
          <w:noProof/>
        </w:rPr>
        <w:drawing>
          <wp:inline distT="0" distB="0" distL="0" distR="0">
            <wp:extent cx="2207260" cy="725170"/>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07260" cy="725170"/>
                    </a:xfrm>
                    <a:prstGeom prst="rect">
                      <a:avLst/>
                    </a:prstGeom>
                    <a:solidFill>
                      <a:srgbClr val="FFFFFF">
                        <a:alpha val="0"/>
                      </a:srgbClr>
                    </a:solidFill>
                    <a:ln w="9525">
                      <a:noFill/>
                      <a:miter lim="800000"/>
                      <a:headEnd/>
                      <a:tailEnd/>
                    </a:ln>
                  </pic:spPr>
                </pic:pic>
              </a:graphicData>
            </a:graphic>
          </wp:inline>
        </w:drawing>
      </w:r>
    </w:p>
    <w:p w:rsidR="00D430C4" w:rsidRPr="006F1FC3" w:rsidRDefault="00D430C4" w:rsidP="00C82E66">
      <w:pPr>
        <w:spacing w:after="120" w:line="360" w:lineRule="auto"/>
        <w:jc w:val="both"/>
        <w:rPr>
          <w:rFonts w:ascii="Times New Roman" w:hAnsi="Times New Roman"/>
        </w:rPr>
      </w:pPr>
      <w:proofErr w:type="gramStart"/>
      <w:r w:rsidRPr="006F1FC3">
        <w:rPr>
          <w:rFonts w:ascii="Times New Roman" w:hAnsi="Times New Roman"/>
        </w:rPr>
        <w:t>Where y is the mean income per person (or expenditure per capita).</w:t>
      </w:r>
      <w:proofErr w:type="gramEnd"/>
      <w:r w:rsidRPr="006F1FC3">
        <w:rPr>
          <w:rFonts w:ascii="Times New Roman" w:hAnsi="Times New Roman"/>
        </w:rPr>
        <w:t xml:space="preserve"> The values of GE measures vary between zero and infinity, with zero representing an equal distribution and higher values representing higher levels of inequality. The parameter α in the GE class represents the weight given to distances between incomes at different parts of the income distribution, and can take any real value. For lower values of α, GE is </w:t>
      </w:r>
      <w:r w:rsidRPr="006F1FC3">
        <w:rPr>
          <w:rFonts w:ascii="Times New Roman" w:hAnsi="Times New Roman"/>
        </w:rPr>
        <w:lastRenderedPageBreak/>
        <w:t xml:space="preserve">more sensitive to changes in the lower tail of the distribution, and for higher values GE is more sensitive to changes that affect the upper tail. The most common </w:t>
      </w:r>
    </w:p>
    <w:p w:rsidR="00D430C4" w:rsidRDefault="00E16966" w:rsidP="00C82E66">
      <w:pPr>
        <w:spacing w:after="120" w:line="360" w:lineRule="auto"/>
        <w:jc w:val="both"/>
        <w:rPr>
          <w:rFonts w:ascii="Times New Roman" w:hAnsi="Times New Roman"/>
        </w:rPr>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20.15pt;width:152pt;height:42pt;z-index:251658240" filled="t">
            <v:imagedata r:id="rId11" o:title=""/>
          </v:shape>
          <o:OLEObject Type="Embed" ProgID="Equation.3" ShapeID="_x0000_s1026" DrawAspect="Content" ObjectID="_1495227435" r:id="rId12"/>
        </w:pict>
      </w:r>
      <w:r w:rsidR="00D430C4" w:rsidRPr="006F1FC3">
        <w:rPr>
          <w:rFonts w:ascii="Times New Roman" w:hAnsi="Times New Roman"/>
        </w:rPr>
        <w:t xml:space="preserve">Values of α used are 0, 1, and 2. GE (1) is </w:t>
      </w:r>
      <w:proofErr w:type="spellStart"/>
      <w:r w:rsidR="00D430C4" w:rsidRPr="006F1FC3">
        <w:rPr>
          <w:rFonts w:ascii="Times New Roman" w:hAnsi="Times New Roman"/>
        </w:rPr>
        <w:t>Theil’s</w:t>
      </w:r>
      <w:proofErr w:type="spellEnd"/>
      <w:r w:rsidR="00D430C4" w:rsidRPr="006F1FC3">
        <w:rPr>
          <w:rFonts w:ascii="Times New Roman" w:hAnsi="Times New Roman"/>
        </w:rPr>
        <w:t xml:space="preserve"> T index, which may be written as </w:t>
      </w:r>
    </w:p>
    <w:p w:rsidR="00D430C4" w:rsidRDefault="00D430C4" w:rsidP="00C82E66">
      <w:pPr>
        <w:spacing w:after="120" w:line="360" w:lineRule="auto"/>
        <w:jc w:val="both"/>
        <w:rPr>
          <w:rFonts w:ascii="Times New Roman" w:hAnsi="Times New Roman"/>
        </w:rPr>
      </w:pP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Where n is the number of individuals in the population, </w:t>
      </w:r>
      <w:proofErr w:type="spellStart"/>
      <w:r w:rsidRPr="006F1FC3">
        <w:rPr>
          <w:rFonts w:ascii="Times New Roman" w:hAnsi="Times New Roman"/>
        </w:rPr>
        <w:t>yp</w:t>
      </w:r>
      <w:proofErr w:type="spellEnd"/>
      <w:r w:rsidRPr="006F1FC3">
        <w:rPr>
          <w:rFonts w:ascii="Times New Roman" w:hAnsi="Times New Roman"/>
        </w:rPr>
        <w:t xml:space="preserve"> is the income of the person indexed by p, and </w:t>
      </w:r>
      <w:proofErr w:type="spellStart"/>
      <w:r w:rsidRPr="006F1FC3">
        <w:rPr>
          <w:rFonts w:ascii="Times New Roman" w:hAnsi="Times New Roman"/>
        </w:rPr>
        <w:t>μy</w:t>
      </w:r>
      <w:proofErr w:type="spellEnd"/>
      <w:r w:rsidRPr="006F1FC3">
        <w:rPr>
          <w:rFonts w:ascii="Times New Roman" w:hAnsi="Times New Roman"/>
        </w:rPr>
        <w:t xml:space="preserve"> is the population’s average income. (</w:t>
      </w:r>
      <w:proofErr w:type="spellStart"/>
      <w:r w:rsidRPr="006F1FC3">
        <w:rPr>
          <w:rFonts w:ascii="Times New Roman" w:hAnsi="Times New Roman"/>
        </w:rPr>
        <w:t>Needles</w:t>
      </w:r>
      <w:proofErr w:type="spellEnd"/>
      <w:r w:rsidRPr="006F1FC3">
        <w:rPr>
          <w:rFonts w:ascii="Times New Roman" w:hAnsi="Times New Roman"/>
        </w:rPr>
        <w:t xml:space="preserve"> to </w:t>
      </w:r>
      <w:proofErr w:type="spellStart"/>
      <w:r w:rsidRPr="006F1FC3">
        <w:rPr>
          <w:rFonts w:ascii="Times New Roman" w:hAnsi="Times New Roman"/>
        </w:rPr>
        <w:t>say,GE</w:t>
      </w:r>
      <w:proofErr w:type="spellEnd"/>
      <w:r w:rsidRPr="006F1FC3">
        <w:rPr>
          <w:rFonts w:ascii="Times New Roman" w:hAnsi="Times New Roman"/>
        </w:rPr>
        <w:t xml:space="preserve"> measures can be calculated for variables other than income too).This formula of </w:t>
      </w:r>
      <w:proofErr w:type="spellStart"/>
      <w:r w:rsidRPr="006F1FC3">
        <w:rPr>
          <w:rFonts w:ascii="Times New Roman" w:hAnsi="Times New Roman"/>
        </w:rPr>
        <w:t>Theil’s</w:t>
      </w:r>
      <w:proofErr w:type="spellEnd"/>
      <w:r w:rsidRPr="006F1FC3">
        <w:rPr>
          <w:rFonts w:ascii="Times New Roman" w:hAnsi="Times New Roman"/>
        </w:rPr>
        <w:t xml:space="preserve"> T Statistic generates an element, or a contribution, for each individual or group in the analysis which weights the data point’s size (in terms of population share) and weirdness (in terms of proportional distance from the mean). When individual data is available, each individual has an identical population share (1/N), so each individual’s </w:t>
      </w:r>
      <w:proofErr w:type="spellStart"/>
      <w:r w:rsidRPr="006F1FC3">
        <w:rPr>
          <w:rFonts w:ascii="Times New Roman" w:hAnsi="Times New Roman"/>
        </w:rPr>
        <w:t>Theil</w:t>
      </w:r>
      <w:proofErr w:type="spellEnd"/>
      <w:r w:rsidRPr="006F1FC3">
        <w:rPr>
          <w:rFonts w:ascii="Times New Roman" w:hAnsi="Times New Roman"/>
        </w:rPr>
        <w:t xml:space="preserve"> element is determined by his or her proportional distance from the mean. This  formula emphasizes the following points.(1) The summation sign reinforces the idea that each person will contribute a </w:t>
      </w:r>
      <w:proofErr w:type="spellStart"/>
      <w:r w:rsidRPr="006F1FC3">
        <w:rPr>
          <w:rFonts w:ascii="Times New Roman" w:hAnsi="Times New Roman"/>
        </w:rPr>
        <w:t>Theil</w:t>
      </w:r>
      <w:proofErr w:type="spellEnd"/>
      <w:r w:rsidRPr="006F1FC3">
        <w:rPr>
          <w:rFonts w:ascii="Times New Roman" w:hAnsi="Times New Roman"/>
        </w:rPr>
        <w:t xml:space="preserve"> element.(2) </w:t>
      </w:r>
      <w:proofErr w:type="spellStart"/>
      <w:r w:rsidRPr="006F1FC3">
        <w:rPr>
          <w:rFonts w:ascii="Times New Roman" w:hAnsi="Times New Roman"/>
        </w:rPr>
        <w:t>yp</w:t>
      </w:r>
      <w:proofErr w:type="spellEnd"/>
      <w:r w:rsidRPr="006F1FC3">
        <w:rPr>
          <w:rFonts w:ascii="Times New Roman" w:hAnsi="Times New Roman"/>
        </w:rPr>
        <w:t>/</w:t>
      </w:r>
      <w:proofErr w:type="spellStart"/>
      <w:r w:rsidRPr="006F1FC3">
        <w:rPr>
          <w:rFonts w:ascii="Times New Roman" w:hAnsi="Times New Roman"/>
        </w:rPr>
        <w:t>μy</w:t>
      </w:r>
      <w:proofErr w:type="spellEnd"/>
      <w:r w:rsidRPr="006F1FC3">
        <w:rPr>
          <w:rFonts w:ascii="Times New Roman" w:hAnsi="Times New Roman"/>
        </w:rPr>
        <w:t xml:space="preserve"> is the proportion of the individual’s income to average income.(3) The natural logarithm of </w:t>
      </w:r>
      <w:proofErr w:type="spellStart"/>
      <w:r w:rsidRPr="006F1FC3">
        <w:rPr>
          <w:rFonts w:ascii="Times New Roman" w:hAnsi="Times New Roman"/>
        </w:rPr>
        <w:t>yp</w:t>
      </w:r>
      <w:proofErr w:type="spellEnd"/>
      <w:r w:rsidRPr="006F1FC3">
        <w:rPr>
          <w:rFonts w:ascii="Times New Roman" w:hAnsi="Times New Roman"/>
        </w:rPr>
        <w:t xml:space="preserve"> /</w:t>
      </w:r>
      <w:proofErr w:type="spellStart"/>
      <w:r w:rsidRPr="006F1FC3">
        <w:rPr>
          <w:rFonts w:ascii="Times New Roman" w:hAnsi="Times New Roman"/>
        </w:rPr>
        <w:t>μy</w:t>
      </w:r>
      <w:proofErr w:type="spellEnd"/>
      <w:r w:rsidRPr="006F1FC3">
        <w:rPr>
          <w:rFonts w:ascii="Times New Roman" w:hAnsi="Times New Roman"/>
        </w:rPr>
        <w:t xml:space="preserve"> determines whether the element will be positive (</w:t>
      </w:r>
      <w:proofErr w:type="spellStart"/>
      <w:r w:rsidRPr="006F1FC3">
        <w:rPr>
          <w:rFonts w:ascii="Times New Roman" w:hAnsi="Times New Roman"/>
        </w:rPr>
        <w:t>yp</w:t>
      </w:r>
      <w:proofErr w:type="spellEnd"/>
      <w:r w:rsidRPr="006F1FC3">
        <w:rPr>
          <w:rFonts w:ascii="Times New Roman" w:hAnsi="Times New Roman"/>
        </w:rPr>
        <w:t xml:space="preserve"> /</w:t>
      </w:r>
      <w:proofErr w:type="spellStart"/>
      <w:r w:rsidRPr="006F1FC3">
        <w:rPr>
          <w:rFonts w:ascii="Times New Roman" w:hAnsi="Times New Roman"/>
        </w:rPr>
        <w:t>μy</w:t>
      </w:r>
      <w:proofErr w:type="spellEnd"/>
      <w:r w:rsidRPr="006F1FC3">
        <w:rPr>
          <w:rFonts w:ascii="Times New Roman" w:hAnsi="Times New Roman"/>
        </w:rPr>
        <w:t xml:space="preserve"> &gt; 1); negative (</w:t>
      </w:r>
      <w:proofErr w:type="spellStart"/>
      <w:r w:rsidRPr="006F1FC3">
        <w:rPr>
          <w:rFonts w:ascii="Times New Roman" w:hAnsi="Times New Roman"/>
        </w:rPr>
        <w:t>yp</w:t>
      </w:r>
      <w:proofErr w:type="spellEnd"/>
      <w:r w:rsidRPr="006F1FC3">
        <w:rPr>
          <w:rFonts w:ascii="Times New Roman" w:hAnsi="Times New Roman"/>
        </w:rPr>
        <w:t xml:space="preserve"> /</w:t>
      </w:r>
      <w:proofErr w:type="spellStart"/>
      <w:r w:rsidRPr="006F1FC3">
        <w:rPr>
          <w:rFonts w:ascii="Times New Roman" w:hAnsi="Times New Roman"/>
        </w:rPr>
        <w:t>μy</w:t>
      </w:r>
      <w:proofErr w:type="spellEnd"/>
      <w:r w:rsidRPr="006F1FC3">
        <w:rPr>
          <w:rFonts w:ascii="Times New Roman" w:hAnsi="Times New Roman"/>
        </w:rPr>
        <w:t xml:space="preserve"> &lt; 1); or zero (</w:t>
      </w:r>
      <w:proofErr w:type="spellStart"/>
      <w:r w:rsidRPr="006F1FC3">
        <w:rPr>
          <w:rFonts w:ascii="Times New Roman" w:hAnsi="Times New Roman"/>
        </w:rPr>
        <w:t>yp</w:t>
      </w:r>
      <w:proofErr w:type="spellEnd"/>
      <w:r w:rsidRPr="006F1FC3">
        <w:rPr>
          <w:rFonts w:ascii="Times New Roman" w:hAnsi="Times New Roman"/>
        </w:rPr>
        <w:t xml:space="preserve"> /</w:t>
      </w:r>
      <w:proofErr w:type="spellStart"/>
      <w:r w:rsidRPr="006F1FC3">
        <w:rPr>
          <w:rFonts w:ascii="Times New Roman" w:hAnsi="Times New Roman"/>
        </w:rPr>
        <w:t>μy</w:t>
      </w:r>
      <w:proofErr w:type="spellEnd"/>
      <w:r w:rsidRPr="006F1FC3">
        <w:rPr>
          <w:rFonts w:ascii="Times New Roman" w:hAnsi="Times New Roman"/>
        </w:rPr>
        <w:t xml:space="preserve"> = 0). </w:t>
      </w:r>
    </w:p>
    <w:p w:rsidR="00D430C4" w:rsidRPr="006F1FC3" w:rsidRDefault="00D430C4" w:rsidP="00C82E66">
      <w:pPr>
        <w:spacing w:after="120" w:line="360" w:lineRule="auto"/>
        <w:jc w:val="both"/>
        <w:rPr>
          <w:rFonts w:ascii="Times New Roman" w:hAnsi="Times New Roman"/>
        </w:rPr>
      </w:pPr>
      <w:proofErr w:type="spellStart"/>
      <w:r w:rsidRPr="006F1FC3">
        <w:rPr>
          <w:rFonts w:ascii="Times New Roman" w:hAnsi="Times New Roman"/>
        </w:rPr>
        <w:t>Theil’s</w:t>
      </w:r>
      <w:proofErr w:type="spellEnd"/>
      <w:r w:rsidRPr="006F1FC3">
        <w:rPr>
          <w:rFonts w:ascii="Times New Roman" w:hAnsi="Times New Roman"/>
        </w:rPr>
        <w:t xml:space="preserve"> L - If value of α in GE formula is 0 then we can have a measure called GE(0), also known as </w:t>
      </w:r>
      <w:proofErr w:type="spellStart"/>
      <w:r w:rsidRPr="006F1FC3">
        <w:rPr>
          <w:rFonts w:ascii="Times New Roman" w:hAnsi="Times New Roman"/>
        </w:rPr>
        <w:t>Theil’s</w:t>
      </w:r>
      <w:proofErr w:type="spellEnd"/>
      <w:r w:rsidRPr="006F1FC3">
        <w:rPr>
          <w:rFonts w:ascii="Times New Roman" w:hAnsi="Times New Roman"/>
        </w:rPr>
        <w:t xml:space="preserve"> L, and sometimes referred to as the mean log deviation measure, is given by </w:t>
      </w:r>
    </w:p>
    <w:p w:rsidR="00D430C4" w:rsidRPr="006F1FC3" w:rsidRDefault="00D430C4" w:rsidP="00C82E66">
      <w:pPr>
        <w:spacing w:after="120" w:line="360" w:lineRule="auto"/>
        <w:jc w:val="both"/>
        <w:rPr>
          <w:rFonts w:ascii="Times New Roman" w:hAnsi="Times New Roman"/>
        </w:rPr>
      </w:pPr>
      <w:r>
        <w:rPr>
          <w:rFonts w:ascii="Times New Roman" w:hAnsi="Times New Roman"/>
          <w:noProof/>
        </w:rPr>
        <w:lastRenderedPageBreak/>
        <w:drawing>
          <wp:inline distT="0" distB="0" distL="0" distR="0">
            <wp:extent cx="1428750" cy="6754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25788" cy="674000"/>
                    </a:xfrm>
                    <a:prstGeom prst="rect">
                      <a:avLst/>
                    </a:prstGeom>
                    <a:solidFill>
                      <a:srgbClr val="FFFFFF">
                        <a:alpha val="0"/>
                      </a:srgbClr>
                    </a:solidFill>
                    <a:ln w="9525">
                      <a:noFill/>
                      <a:miter lim="800000"/>
                      <a:headEnd/>
                      <a:tailEnd/>
                    </a:ln>
                  </pic:spPr>
                </pic:pic>
              </a:graphicData>
            </a:graphic>
          </wp:inline>
        </w:drawing>
      </w:r>
    </w:p>
    <w:p w:rsidR="00D430C4" w:rsidRPr="006F1FC3" w:rsidRDefault="00D430C4" w:rsidP="00C82E66">
      <w:pPr>
        <w:spacing w:after="120" w:line="360" w:lineRule="auto"/>
        <w:jc w:val="both"/>
        <w:rPr>
          <w:rFonts w:ascii="Times New Roman" w:hAnsi="Times New Roman"/>
        </w:rPr>
      </w:pPr>
      <w:proofErr w:type="spellStart"/>
      <w:r w:rsidRPr="006F1FC3">
        <w:rPr>
          <w:rFonts w:ascii="Times New Roman" w:hAnsi="Times New Roman"/>
        </w:rPr>
        <w:t>Theil</w:t>
      </w:r>
      <w:proofErr w:type="spellEnd"/>
      <w:r w:rsidRPr="006F1FC3">
        <w:rPr>
          <w:rFonts w:ascii="Times New Roman" w:hAnsi="Times New Roman"/>
        </w:rPr>
        <w:t xml:space="preserve"> index can be decomposed into within and between group components. This has to be explained in some detail. Let us take the issue of migration’s role in inequality. </w:t>
      </w:r>
      <w:proofErr w:type="gramStart"/>
      <w:r w:rsidRPr="006F1FC3">
        <w:rPr>
          <w:rFonts w:ascii="Times New Roman" w:hAnsi="Times New Roman"/>
        </w:rPr>
        <w:t xml:space="preserve">Till now the approach to the problem by dividing the population into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w:t>
      </w:r>
      <w:proofErr w:type="gramEnd"/>
      <w:r w:rsidRPr="006F1FC3">
        <w:rPr>
          <w:rFonts w:ascii="Times New Roman" w:hAnsi="Times New Roman"/>
        </w:rPr>
        <w:t xml:space="preserve"> So the two groups are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Now </w:t>
      </w:r>
      <w:proofErr w:type="spellStart"/>
      <w:r w:rsidRPr="006F1FC3">
        <w:rPr>
          <w:rFonts w:ascii="Times New Roman" w:hAnsi="Times New Roman"/>
        </w:rPr>
        <w:t>Theil</w:t>
      </w:r>
      <w:proofErr w:type="spellEnd"/>
      <w:r w:rsidRPr="006F1FC3">
        <w:rPr>
          <w:rFonts w:ascii="Times New Roman" w:hAnsi="Times New Roman"/>
        </w:rPr>
        <w:t xml:space="preserve"> index decomposition technique will generate two elements. First one is within group component of inequality. Second one is between group components.</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The statistical technique of </w:t>
      </w:r>
      <w:proofErr w:type="spellStart"/>
      <w:r w:rsidRPr="006F1FC3">
        <w:rPr>
          <w:rFonts w:ascii="Times New Roman" w:hAnsi="Times New Roman"/>
        </w:rPr>
        <w:t>Theil</w:t>
      </w:r>
      <w:proofErr w:type="spellEnd"/>
      <w:r w:rsidRPr="006F1FC3">
        <w:rPr>
          <w:rFonts w:ascii="Times New Roman" w:hAnsi="Times New Roman"/>
        </w:rPr>
        <w:t xml:space="preserve"> index decomposition decompose the total inequality (measured using </w:t>
      </w:r>
      <w:proofErr w:type="spellStart"/>
      <w:r w:rsidRPr="006F1FC3">
        <w:rPr>
          <w:rFonts w:ascii="Times New Roman" w:hAnsi="Times New Roman"/>
        </w:rPr>
        <w:t>Theil</w:t>
      </w:r>
      <w:proofErr w:type="spellEnd"/>
      <w:r w:rsidRPr="006F1FC3">
        <w:rPr>
          <w:rFonts w:ascii="Times New Roman" w:hAnsi="Times New Roman"/>
        </w:rPr>
        <w:t xml:space="preserve"> index) into two components</w:t>
      </w:r>
    </w:p>
    <w:p w:rsidR="00D430C4" w:rsidRPr="006F1FC3" w:rsidRDefault="00D430C4" w:rsidP="00C82E66">
      <w:pPr>
        <w:spacing w:after="120" w:line="360" w:lineRule="auto"/>
        <w:ind w:left="284" w:hanging="284"/>
        <w:jc w:val="both"/>
        <w:rPr>
          <w:rFonts w:ascii="Times New Roman" w:hAnsi="Times New Roman"/>
        </w:rPr>
      </w:pPr>
      <w:r w:rsidRPr="006F1FC3">
        <w:rPr>
          <w:rFonts w:ascii="Times New Roman" w:hAnsi="Times New Roman"/>
        </w:rPr>
        <w:t xml:space="preserve">1. Within group inequality – It represents the contribution of inequality within group to total inequality. When the case of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is taken, both are not homogenous groups. Households in each of these groups have diverse socio economic characteristics which cause some inequalities within the group. This inequality will be reflected in income/consumption pattern/asset holding of the households. This inequality will definitely contribute to total inequality and is represented as ‘Within group inequality’.</w:t>
      </w:r>
    </w:p>
    <w:p w:rsidR="00D430C4" w:rsidRPr="006F1FC3" w:rsidRDefault="00D430C4" w:rsidP="00C82E66">
      <w:pPr>
        <w:spacing w:after="120" w:line="360" w:lineRule="auto"/>
        <w:ind w:left="284" w:hanging="284"/>
        <w:jc w:val="both"/>
        <w:rPr>
          <w:rFonts w:ascii="Times New Roman" w:hAnsi="Times New Roman"/>
        </w:rPr>
      </w:pPr>
      <w:r w:rsidRPr="006F1FC3">
        <w:rPr>
          <w:rFonts w:ascii="Times New Roman" w:hAnsi="Times New Roman"/>
        </w:rPr>
        <w:t xml:space="preserve">2. Between group </w:t>
      </w:r>
      <w:proofErr w:type="gramStart"/>
      <w:r w:rsidRPr="006F1FC3">
        <w:rPr>
          <w:rFonts w:ascii="Times New Roman" w:hAnsi="Times New Roman"/>
        </w:rPr>
        <w:t>inequality</w:t>
      </w:r>
      <w:proofErr w:type="gramEnd"/>
      <w:r w:rsidRPr="006F1FC3">
        <w:rPr>
          <w:rFonts w:ascii="Times New Roman" w:hAnsi="Times New Roman"/>
        </w:rPr>
        <w:t xml:space="preserve"> - Different socio economic groups differ in their standard of living. This difference creates inequality between different groups known as between group inequality.</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To decompose </w:t>
      </w:r>
      <w:proofErr w:type="spellStart"/>
      <w:r w:rsidRPr="006F1FC3">
        <w:rPr>
          <w:rFonts w:ascii="Times New Roman" w:hAnsi="Times New Roman"/>
        </w:rPr>
        <w:t>Theil’s</w:t>
      </w:r>
      <w:proofErr w:type="spellEnd"/>
      <w:r w:rsidRPr="006F1FC3">
        <w:rPr>
          <w:rFonts w:ascii="Times New Roman" w:hAnsi="Times New Roman"/>
        </w:rPr>
        <w:t xml:space="preserve"> T index (that is, GE </w:t>
      </w:r>
      <w:r w:rsidR="00C82E66">
        <w:rPr>
          <w:rFonts w:ascii="Times New Roman" w:hAnsi="Times New Roman"/>
        </w:rPr>
        <w:t xml:space="preserve">(1)), let Y be the total income </w:t>
      </w:r>
      <w:r w:rsidRPr="006F1FC3">
        <w:rPr>
          <w:rFonts w:ascii="Times New Roman" w:hAnsi="Times New Roman"/>
        </w:rPr>
        <w:t xml:space="preserve">of all N individuals in the sample, and y = Y/N be mean income. </w:t>
      </w:r>
      <w:r w:rsidRPr="006F1FC3">
        <w:rPr>
          <w:rFonts w:ascii="Times New Roman" w:hAnsi="Times New Roman"/>
        </w:rPr>
        <w:lastRenderedPageBreak/>
        <w:t xml:space="preserve">Likewise, </w:t>
      </w:r>
      <w:proofErr w:type="spellStart"/>
      <w:r w:rsidRPr="006F1FC3">
        <w:rPr>
          <w:rFonts w:ascii="Times New Roman" w:hAnsi="Times New Roman"/>
        </w:rPr>
        <w:t>Yj</w:t>
      </w:r>
      <w:proofErr w:type="spellEnd"/>
      <w:r w:rsidRPr="006F1FC3">
        <w:rPr>
          <w:rFonts w:ascii="Times New Roman" w:hAnsi="Times New Roman"/>
        </w:rPr>
        <w:t xml:space="preserve"> is the total income of a subgroup (for example, the urban population) with </w:t>
      </w:r>
      <w:proofErr w:type="spellStart"/>
      <w:proofErr w:type="gramStart"/>
      <w:r w:rsidRPr="006F1FC3">
        <w:rPr>
          <w:rFonts w:ascii="Times New Roman" w:hAnsi="Times New Roman"/>
        </w:rPr>
        <w:t>Nj</w:t>
      </w:r>
      <w:proofErr w:type="spellEnd"/>
      <w:proofErr w:type="gramEnd"/>
      <w:r w:rsidRPr="006F1FC3">
        <w:rPr>
          <w:rFonts w:ascii="Times New Roman" w:hAnsi="Times New Roman"/>
        </w:rPr>
        <w:t xml:space="preserve"> members, and y j = </w:t>
      </w:r>
      <w:proofErr w:type="spellStart"/>
      <w:r w:rsidRPr="006F1FC3">
        <w:rPr>
          <w:rFonts w:ascii="Times New Roman" w:hAnsi="Times New Roman"/>
        </w:rPr>
        <w:t>Yj</w:t>
      </w:r>
      <w:proofErr w:type="spellEnd"/>
      <w:r w:rsidRPr="006F1FC3">
        <w:rPr>
          <w:rFonts w:ascii="Times New Roman" w:hAnsi="Times New Roman"/>
        </w:rPr>
        <w:t>/</w:t>
      </w:r>
      <w:proofErr w:type="spellStart"/>
      <w:r w:rsidRPr="006F1FC3">
        <w:rPr>
          <w:rFonts w:ascii="Times New Roman" w:hAnsi="Times New Roman"/>
        </w:rPr>
        <w:t>Nj</w:t>
      </w:r>
      <w:proofErr w:type="spellEnd"/>
      <w:r w:rsidRPr="006F1FC3">
        <w:rPr>
          <w:rFonts w:ascii="Times New Roman" w:hAnsi="Times New Roman"/>
        </w:rPr>
        <w:t xml:space="preserve"> is the mean income of this subgroup. Using T to represent GE (1), </w:t>
      </w:r>
    </w:p>
    <w:p w:rsidR="00D430C4" w:rsidRPr="006F1FC3" w:rsidRDefault="00D430C4" w:rsidP="00C82E66">
      <w:pPr>
        <w:spacing w:after="120" w:line="360" w:lineRule="auto"/>
        <w:jc w:val="center"/>
        <w:rPr>
          <w:rFonts w:ascii="Times New Roman" w:hAnsi="Times New Roman"/>
        </w:rPr>
      </w:pPr>
      <w:r>
        <w:rPr>
          <w:rFonts w:ascii="Times New Roman" w:hAnsi="Times New Roman"/>
          <w:noProof/>
        </w:rPr>
        <w:drawing>
          <wp:inline distT="0" distB="0" distL="0" distR="0">
            <wp:extent cx="2680335" cy="1734185"/>
            <wp:effectExtent l="19050" t="0" r="571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80335" cy="1734185"/>
                    </a:xfrm>
                    <a:prstGeom prst="rect">
                      <a:avLst/>
                    </a:prstGeom>
                    <a:solidFill>
                      <a:srgbClr val="FFFFFF">
                        <a:alpha val="0"/>
                      </a:srgbClr>
                    </a:solidFill>
                    <a:ln w="9525">
                      <a:noFill/>
                      <a:miter lim="800000"/>
                      <a:headEnd/>
                      <a:tailEnd/>
                    </a:ln>
                  </pic:spPr>
                </pic:pic>
              </a:graphicData>
            </a:graphic>
          </wp:inline>
        </w:drawing>
      </w:r>
      <w:r w:rsidRPr="006F1FC3">
        <w:rPr>
          <w:rFonts w:ascii="Times New Roman" w:hAnsi="Times New Roman"/>
        </w:rPr>
        <w:t>(1)</w:t>
      </w:r>
    </w:p>
    <w:p w:rsidR="00D430C4" w:rsidRPr="006F1FC3" w:rsidRDefault="00D430C4" w:rsidP="00C82E66">
      <w:pPr>
        <w:spacing w:after="120" w:line="360" w:lineRule="auto"/>
        <w:jc w:val="both"/>
        <w:rPr>
          <w:rFonts w:ascii="Times New Roman" w:hAnsi="Times New Roman"/>
        </w:rPr>
      </w:pPr>
      <w:proofErr w:type="gramStart"/>
      <w:r w:rsidRPr="006F1FC3">
        <w:rPr>
          <w:rFonts w:ascii="Times New Roman" w:hAnsi="Times New Roman"/>
        </w:rPr>
        <w:t xml:space="preserve">Where </w:t>
      </w:r>
      <w:proofErr w:type="spellStart"/>
      <w:r w:rsidRPr="006F1FC3">
        <w:rPr>
          <w:rFonts w:ascii="Times New Roman" w:hAnsi="Times New Roman"/>
        </w:rPr>
        <w:t>Tj</w:t>
      </w:r>
      <w:proofErr w:type="spellEnd"/>
      <w:r w:rsidRPr="006F1FC3">
        <w:rPr>
          <w:rFonts w:ascii="Times New Roman" w:hAnsi="Times New Roman"/>
        </w:rPr>
        <w:t xml:space="preserve"> is the value of GE (1) for subgroup j.</w:t>
      </w:r>
      <w:proofErr w:type="gramEnd"/>
      <w:r w:rsidRPr="006F1FC3">
        <w:rPr>
          <w:rFonts w:ascii="Times New Roman" w:hAnsi="Times New Roman"/>
        </w:rPr>
        <w:t xml:space="preserve"> This Equation separates the inequality measure into two components, the first of which represents within group inequality while the second term measures the between group inequality. </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A similar decomposition is possible for GE (0); this breakdown of </w:t>
      </w:r>
      <w:proofErr w:type="spellStart"/>
      <w:r w:rsidRPr="006F1FC3">
        <w:rPr>
          <w:rFonts w:ascii="Times New Roman" w:hAnsi="Times New Roman"/>
        </w:rPr>
        <w:t>Theil’s</w:t>
      </w:r>
      <w:proofErr w:type="spellEnd"/>
      <w:r w:rsidRPr="006F1FC3">
        <w:rPr>
          <w:rFonts w:ascii="Times New Roman" w:hAnsi="Times New Roman"/>
        </w:rPr>
        <w:t xml:space="preserve"> L is given by </w:t>
      </w:r>
    </w:p>
    <w:p w:rsidR="00D430C4" w:rsidRPr="006F1FC3" w:rsidRDefault="00D430C4" w:rsidP="00C82E66">
      <w:pPr>
        <w:spacing w:after="120" w:line="360" w:lineRule="auto"/>
        <w:jc w:val="both"/>
        <w:rPr>
          <w:rFonts w:ascii="Times New Roman" w:hAnsi="Times New Roman"/>
        </w:rPr>
      </w:pPr>
      <w:r>
        <w:rPr>
          <w:rFonts w:ascii="Times New Roman" w:hAnsi="Times New Roman"/>
          <w:noProof/>
        </w:rPr>
        <w:drawing>
          <wp:inline distT="0" distB="0" distL="0" distR="0">
            <wp:extent cx="3279140" cy="78803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279140" cy="788035"/>
                    </a:xfrm>
                    <a:prstGeom prst="rect">
                      <a:avLst/>
                    </a:prstGeom>
                    <a:solidFill>
                      <a:srgbClr val="FFFFFF">
                        <a:alpha val="0"/>
                      </a:srgbClr>
                    </a:solidFill>
                    <a:ln w="9525">
                      <a:noFill/>
                      <a:miter lim="800000"/>
                      <a:headEnd/>
                      <a:tailEnd/>
                    </a:ln>
                  </pic:spPr>
                </pic:pic>
              </a:graphicData>
            </a:graphic>
          </wp:inline>
        </w:drawing>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When confronted with information on a welfare measure for two time points, one has to identify the components of the change in inequality. Defining </w:t>
      </w:r>
      <w:proofErr w:type="spellStart"/>
      <w:proofErr w:type="gramStart"/>
      <w:r w:rsidRPr="006F1FC3">
        <w:rPr>
          <w:rFonts w:ascii="Times New Roman" w:hAnsi="Times New Roman"/>
        </w:rPr>
        <w:t>nj</w:t>
      </w:r>
      <w:proofErr w:type="spellEnd"/>
      <w:proofErr w:type="gramEnd"/>
      <w:r w:rsidRPr="006F1FC3">
        <w:rPr>
          <w:rFonts w:ascii="Times New Roman" w:hAnsi="Times New Roman"/>
        </w:rPr>
        <w:t xml:space="preserve"> = </w:t>
      </w:r>
      <w:proofErr w:type="spellStart"/>
      <w:r w:rsidRPr="006F1FC3">
        <w:rPr>
          <w:rFonts w:ascii="Times New Roman" w:hAnsi="Times New Roman"/>
        </w:rPr>
        <w:t>Nj</w:t>
      </w:r>
      <w:proofErr w:type="spellEnd"/>
      <w:r w:rsidRPr="006F1FC3">
        <w:rPr>
          <w:rFonts w:ascii="Times New Roman" w:hAnsi="Times New Roman"/>
        </w:rPr>
        <w:t xml:space="preserve">/N, which is the proportion of those in the sample who are in the </w:t>
      </w:r>
      <w:proofErr w:type="spellStart"/>
      <w:r w:rsidRPr="006F1FC3">
        <w:rPr>
          <w:rFonts w:ascii="Times New Roman" w:hAnsi="Times New Roman"/>
        </w:rPr>
        <w:t>jth</w:t>
      </w:r>
      <w:proofErr w:type="spellEnd"/>
      <w:r w:rsidRPr="006F1FC3">
        <w:rPr>
          <w:rFonts w:ascii="Times New Roman" w:hAnsi="Times New Roman"/>
        </w:rPr>
        <w:t xml:space="preserve"> subgroup, and adding the time subscripts 1 (for initial period) and 2 (for the second period), where appropriate, for </w:t>
      </w:r>
      <w:proofErr w:type="spellStart"/>
      <w:r w:rsidRPr="006F1FC3">
        <w:rPr>
          <w:rFonts w:ascii="Times New Roman" w:hAnsi="Times New Roman"/>
        </w:rPr>
        <w:t>Theil’s</w:t>
      </w:r>
      <w:proofErr w:type="spellEnd"/>
      <w:r w:rsidRPr="006F1FC3">
        <w:rPr>
          <w:rFonts w:ascii="Times New Roman" w:hAnsi="Times New Roman"/>
        </w:rPr>
        <w:t xml:space="preserve"> L </w:t>
      </w:r>
    </w:p>
    <w:p w:rsidR="00D430C4" w:rsidRPr="006F1FC3" w:rsidRDefault="00D430C4" w:rsidP="00C82E66">
      <w:pPr>
        <w:spacing w:after="120" w:line="360" w:lineRule="auto"/>
        <w:jc w:val="both"/>
        <w:rPr>
          <w:rFonts w:ascii="Times New Roman" w:hAnsi="Times New Roman"/>
        </w:rPr>
      </w:pPr>
      <w:r>
        <w:rPr>
          <w:rFonts w:ascii="Times New Roman" w:hAnsi="Times New Roman"/>
          <w:noProof/>
        </w:rPr>
        <w:lastRenderedPageBreak/>
        <w:drawing>
          <wp:inline distT="0" distB="0" distL="0" distR="0">
            <wp:extent cx="4319905" cy="946150"/>
            <wp:effectExtent l="19050" t="0" r="444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319905" cy="946150"/>
                    </a:xfrm>
                    <a:prstGeom prst="rect">
                      <a:avLst/>
                    </a:prstGeom>
                    <a:solidFill>
                      <a:srgbClr val="FFFFFF">
                        <a:alpha val="0"/>
                      </a:srgbClr>
                    </a:solidFill>
                    <a:ln w="9525">
                      <a:noFill/>
                      <a:miter lim="800000"/>
                      <a:headEnd/>
                      <a:tailEnd/>
                    </a:ln>
                  </pic:spPr>
                </pic:pic>
              </a:graphicData>
            </a:graphic>
          </wp:inline>
        </w:drawing>
      </w:r>
      <w:r w:rsidRPr="006F1FC3">
        <w:rPr>
          <w:rFonts w:ascii="Times New Roman" w:hAnsi="Times New Roman"/>
        </w:rPr>
        <w:t>(2)</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This decomposition is accurate if the changes are relatively small, and if average values across the two periods (for example, of </w:t>
      </w:r>
      <w:proofErr w:type="spellStart"/>
      <w:proofErr w:type="gramStart"/>
      <w:r w:rsidRPr="006F1FC3">
        <w:rPr>
          <w:rFonts w:ascii="Times New Roman" w:hAnsi="Times New Roman"/>
        </w:rPr>
        <w:t>nj</w:t>
      </w:r>
      <w:proofErr w:type="spellEnd"/>
      <w:proofErr w:type="gramEnd"/>
      <w:r w:rsidRPr="006F1FC3">
        <w:rPr>
          <w:rFonts w:ascii="Times New Roman" w:hAnsi="Times New Roman"/>
        </w:rPr>
        <w:t xml:space="preserve"> or </w:t>
      </w:r>
      <w:proofErr w:type="spellStart"/>
      <w:r w:rsidRPr="006F1FC3">
        <w:rPr>
          <w:rFonts w:ascii="Times New Roman" w:hAnsi="Times New Roman"/>
        </w:rPr>
        <w:t>Lj</w:t>
      </w:r>
      <w:proofErr w:type="spellEnd"/>
      <w:r w:rsidRPr="006F1FC3">
        <w:rPr>
          <w:rFonts w:ascii="Times New Roman" w:hAnsi="Times New Roman"/>
        </w:rPr>
        <w:t>) are used. The first term on the right-hand side measures the effect on inequality of changes in relative mean incomes; if the income of a small, rich group grows particularly rapidly, for instance, greater inequality is likely to result. The second term measures the effects of shifts in population from one group to another. Finally, the third term in equation (2) measures the size of changes in within-group inequality.</w:t>
      </w:r>
    </w:p>
    <w:p w:rsidR="00D430C4" w:rsidRPr="006F1FC3" w:rsidRDefault="00D430C4" w:rsidP="00C82E66">
      <w:pPr>
        <w:spacing w:after="120" w:line="360" w:lineRule="auto"/>
        <w:jc w:val="both"/>
        <w:rPr>
          <w:rFonts w:ascii="Times New Roman" w:hAnsi="Times New Roman"/>
        </w:rPr>
      </w:pPr>
      <w:r w:rsidRPr="006F1FC3">
        <w:rPr>
          <w:rFonts w:ascii="Times New Roman" w:hAnsi="Times New Roman"/>
        </w:rPr>
        <w:t xml:space="preserve">To understand the role of migration in inequalities, one has to replace income using asset based SOL index. The application of </w:t>
      </w:r>
      <w:proofErr w:type="spellStart"/>
      <w:r w:rsidRPr="006F1FC3">
        <w:rPr>
          <w:rFonts w:ascii="Times New Roman" w:hAnsi="Times New Roman"/>
        </w:rPr>
        <w:t>Theil</w:t>
      </w:r>
      <w:proofErr w:type="spellEnd"/>
      <w:r w:rsidRPr="006F1FC3">
        <w:rPr>
          <w:rFonts w:ascii="Times New Roman" w:hAnsi="Times New Roman"/>
        </w:rPr>
        <w:t xml:space="preserve"> decomposition is not the best method to understand the role of migration in inequality. It can only give an idea about inequality within and between groups. But given the </w:t>
      </w:r>
      <w:proofErr w:type="spellStart"/>
      <w:r w:rsidRPr="006F1FC3">
        <w:rPr>
          <w:rFonts w:ascii="Times New Roman" w:hAnsi="Times New Roman"/>
        </w:rPr>
        <w:t>non availability</w:t>
      </w:r>
      <w:proofErr w:type="spellEnd"/>
      <w:r w:rsidRPr="006F1FC3">
        <w:rPr>
          <w:rFonts w:ascii="Times New Roman" w:hAnsi="Times New Roman"/>
        </w:rPr>
        <w:t xml:space="preserve"> of data on proxies of income in a manner that facilitates comparison of role of migration in inequality over a reasonable period; this is best method available.</w:t>
      </w:r>
    </w:p>
    <w:p w:rsidR="00D430C4" w:rsidRPr="00C82E66" w:rsidRDefault="00C82E66" w:rsidP="00C82E66">
      <w:pPr>
        <w:spacing w:after="120" w:line="360" w:lineRule="auto"/>
        <w:jc w:val="both"/>
        <w:rPr>
          <w:rFonts w:ascii="Times New Roman" w:hAnsi="Times New Roman"/>
          <w:b/>
        </w:rPr>
      </w:pPr>
      <w:r w:rsidRPr="00C82E66">
        <w:rPr>
          <w:rFonts w:ascii="Times New Roman" w:hAnsi="Times New Roman"/>
          <w:b/>
        </w:rPr>
        <w:t>Panel regression analysis</w:t>
      </w:r>
    </w:p>
    <w:p w:rsidR="00D430C4" w:rsidRPr="00A35088" w:rsidRDefault="00D430C4" w:rsidP="00C82E66">
      <w:pPr>
        <w:spacing w:after="120" w:line="360" w:lineRule="auto"/>
        <w:jc w:val="both"/>
        <w:rPr>
          <w:rFonts w:ascii="Times New Roman" w:hAnsi="Times New Roman"/>
        </w:rPr>
      </w:pPr>
      <w:r w:rsidRPr="006F1FC3">
        <w:rPr>
          <w:rFonts w:ascii="Times New Roman" w:hAnsi="Times New Roman"/>
        </w:rPr>
        <w:t xml:space="preserve">Even if aforesaid analyses reveal some role of migration in Inequality, the apparent contribution of migration in inequality in such types of analyses may be due to some other factors. These factors may be present in a disadvantaged manner in </w:t>
      </w:r>
      <w:proofErr w:type="spellStart"/>
      <w:r w:rsidRPr="006F1FC3">
        <w:rPr>
          <w:rFonts w:ascii="Times New Roman" w:hAnsi="Times New Roman"/>
        </w:rPr>
        <w:t>non migrant</w:t>
      </w:r>
      <w:proofErr w:type="spellEnd"/>
      <w:r w:rsidRPr="006F1FC3">
        <w:rPr>
          <w:rFonts w:ascii="Times New Roman" w:hAnsi="Times New Roman"/>
        </w:rPr>
        <w:t xml:space="preserve"> HHs, thereby making them relatively disadvantaged in terms of SOLI score. So it is important to </w:t>
      </w:r>
      <w:r w:rsidRPr="006F1FC3">
        <w:rPr>
          <w:rFonts w:ascii="Times New Roman" w:hAnsi="Times New Roman"/>
        </w:rPr>
        <w:lastRenderedPageBreak/>
        <w:t>control the other factors to see if migration really matters in Standard of living. To accomplish this panel regression of values of SOLI on various factors affecting inequality is also performed</w:t>
      </w:r>
      <w:r>
        <w:rPr>
          <w:rFonts w:ascii="Times New Roman" w:hAnsi="Times New Roman"/>
        </w:rPr>
        <w:t>.</w:t>
      </w:r>
    </w:p>
    <w:p w:rsidR="00D430C4" w:rsidRPr="006F1FC3" w:rsidRDefault="00D430C4" w:rsidP="00C82E66">
      <w:pPr>
        <w:spacing w:after="120" w:line="360" w:lineRule="auto"/>
        <w:jc w:val="both"/>
        <w:rPr>
          <w:rFonts w:ascii="Times New Roman" w:hAnsi="Times New Roman"/>
          <w:b/>
        </w:rPr>
      </w:pPr>
      <w:r w:rsidRPr="006F1FC3">
        <w:rPr>
          <w:rFonts w:ascii="Times New Roman" w:hAnsi="Times New Roman"/>
          <w:b/>
        </w:rPr>
        <w:t>4.</w:t>
      </w:r>
      <w:r w:rsidR="00C82E66">
        <w:rPr>
          <w:rFonts w:ascii="Times New Roman" w:hAnsi="Times New Roman"/>
          <w:b/>
        </w:rPr>
        <w:t>0</w:t>
      </w:r>
      <w:r w:rsidRPr="006F1FC3">
        <w:rPr>
          <w:rFonts w:ascii="Times New Roman" w:hAnsi="Times New Roman"/>
          <w:b/>
        </w:rPr>
        <w:t xml:space="preserve"> Results and Discussion</w:t>
      </w:r>
    </w:p>
    <w:p w:rsidR="00D430C4" w:rsidRPr="00C82E66" w:rsidRDefault="00D430C4" w:rsidP="00C82E66">
      <w:pPr>
        <w:spacing w:after="120" w:line="360" w:lineRule="auto"/>
        <w:jc w:val="both"/>
        <w:rPr>
          <w:rFonts w:ascii="Times New Roman" w:hAnsi="Times New Roman"/>
        </w:rPr>
      </w:pPr>
      <w:r w:rsidRPr="00C82E66">
        <w:rPr>
          <w:rFonts w:ascii="Times New Roman" w:hAnsi="Times New Roman"/>
        </w:rPr>
        <w:t>Analysis using proxies of Income</w:t>
      </w:r>
    </w:p>
    <w:p w:rsidR="00D430C4" w:rsidRPr="00C82E66" w:rsidRDefault="00D430C4" w:rsidP="00A524A4">
      <w:pPr>
        <w:spacing w:after="120" w:line="360" w:lineRule="auto"/>
        <w:jc w:val="both"/>
        <w:rPr>
          <w:rFonts w:ascii="Times New Roman" w:hAnsi="Times New Roman"/>
        </w:rPr>
      </w:pPr>
      <w:r w:rsidRPr="006F1FC3">
        <w:rPr>
          <w:rFonts w:ascii="Times New Roman" w:hAnsi="Times New Roman"/>
        </w:rPr>
        <w:t xml:space="preserve">Average consumer expenditure of migrant households is </w:t>
      </w:r>
      <w:r w:rsidRPr="006F1FC3">
        <w:rPr>
          <w:rFonts w:ascii="Times New Roman" w:hAnsi="Times New Roman"/>
          <w:color w:val="000000"/>
        </w:rPr>
        <w:t xml:space="preserve">6189.9 </w:t>
      </w:r>
      <w:proofErr w:type="spellStart"/>
      <w:r w:rsidRPr="006F1FC3">
        <w:rPr>
          <w:rFonts w:ascii="Times New Roman" w:hAnsi="Times New Roman"/>
          <w:color w:val="000000"/>
        </w:rPr>
        <w:t>Rs</w:t>
      </w:r>
      <w:proofErr w:type="spellEnd"/>
      <w:r w:rsidRPr="006F1FC3">
        <w:rPr>
          <w:rFonts w:ascii="Times New Roman" w:hAnsi="Times New Roman"/>
          <w:color w:val="000000"/>
        </w:rPr>
        <w:t xml:space="preserve"> which is </w:t>
      </w:r>
      <w:r w:rsidRPr="006F1FC3">
        <w:rPr>
          <w:rFonts w:ascii="Times New Roman" w:hAnsi="Times New Roman"/>
        </w:rPr>
        <w:t xml:space="preserve">higher than </w:t>
      </w:r>
      <w:proofErr w:type="spellStart"/>
      <w:r w:rsidRPr="006F1FC3">
        <w:rPr>
          <w:rFonts w:ascii="Times New Roman" w:hAnsi="Times New Roman"/>
        </w:rPr>
        <w:t>non migrant</w:t>
      </w:r>
      <w:proofErr w:type="spellEnd"/>
      <w:r w:rsidRPr="006F1FC3">
        <w:rPr>
          <w:rFonts w:ascii="Times New Roman" w:hAnsi="Times New Roman"/>
        </w:rPr>
        <w:t xml:space="preserve"> household by 1159Rs. Since data on i</w:t>
      </w:r>
      <w:r>
        <w:rPr>
          <w:rFonts w:ascii="Times New Roman" w:hAnsi="Times New Roman"/>
        </w:rPr>
        <w:t>ncome is not directly available</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data on </w:t>
      </w:r>
      <w:r>
        <w:rPr>
          <w:rFonts w:ascii="Times New Roman" w:hAnsi="Times New Roman"/>
        </w:rPr>
        <w:t xml:space="preserve">Household consumer expenditure, </w:t>
      </w:r>
      <w:r w:rsidRPr="006F1FC3">
        <w:rPr>
          <w:rFonts w:ascii="Times New Roman" w:hAnsi="Times New Roman"/>
        </w:rPr>
        <w:t>saving</w:t>
      </w:r>
      <w:r>
        <w:rPr>
          <w:rFonts w:ascii="Times New Roman" w:hAnsi="Times New Roman"/>
        </w:rPr>
        <w:t xml:space="preserve"> and i</w:t>
      </w:r>
      <w:r w:rsidRPr="006F1FC3">
        <w:rPr>
          <w:rFonts w:ascii="Times New Roman" w:hAnsi="Times New Roman"/>
        </w:rPr>
        <w:t xml:space="preserve">nvestment is added up to have a proxy measure of income, (referred to as income itself in this paper). This income is subjected to </w:t>
      </w:r>
      <w:proofErr w:type="spellStart"/>
      <w:r w:rsidRPr="006F1FC3">
        <w:rPr>
          <w:rFonts w:ascii="Times New Roman" w:hAnsi="Times New Roman"/>
        </w:rPr>
        <w:t>Gini</w:t>
      </w:r>
      <w:proofErr w:type="spellEnd"/>
      <w:r w:rsidRPr="006F1FC3">
        <w:rPr>
          <w:rFonts w:ascii="Times New Roman" w:hAnsi="Times New Roman"/>
        </w:rPr>
        <w:t xml:space="preserve"> decomposition technique of Stark, Taylor and </w:t>
      </w:r>
      <w:proofErr w:type="spellStart"/>
      <w:r w:rsidRPr="006F1FC3">
        <w:rPr>
          <w:rFonts w:ascii="Times New Roman" w:hAnsi="Times New Roman"/>
        </w:rPr>
        <w:t>Yitzhaki</w:t>
      </w:r>
      <w:proofErr w:type="spellEnd"/>
      <w:r w:rsidRPr="006F1FC3">
        <w:rPr>
          <w:rFonts w:ascii="Times New Roman" w:hAnsi="Times New Roman"/>
        </w:rPr>
        <w:t xml:space="preserve"> (1986) to have an idea about role of migration and remittances in inequality. The results are shown as a table.</w:t>
      </w:r>
    </w:p>
    <w:p w:rsidR="00C82E66" w:rsidRPr="00C82E66" w:rsidRDefault="00C82E66" w:rsidP="00A524A4">
      <w:pPr>
        <w:spacing w:after="120" w:line="240" w:lineRule="auto"/>
        <w:jc w:val="center"/>
        <w:rPr>
          <w:rFonts w:ascii="Times New Roman" w:hAnsi="Times New Roman"/>
          <w:sz w:val="20"/>
          <w:szCs w:val="20"/>
        </w:rPr>
      </w:pPr>
      <w:r w:rsidRPr="00C82E66">
        <w:rPr>
          <w:rFonts w:ascii="Times New Roman" w:hAnsi="Times New Roman"/>
          <w:sz w:val="20"/>
          <w:szCs w:val="20"/>
        </w:rPr>
        <w:t>Table 1</w:t>
      </w:r>
    </w:p>
    <w:p w:rsidR="00D430C4" w:rsidRPr="00C82E66" w:rsidRDefault="00D430C4" w:rsidP="00A524A4">
      <w:pPr>
        <w:spacing w:after="0" w:line="240" w:lineRule="auto"/>
        <w:jc w:val="center"/>
        <w:rPr>
          <w:rFonts w:ascii="Times New Roman" w:hAnsi="Times New Roman"/>
          <w:sz w:val="20"/>
          <w:szCs w:val="20"/>
        </w:rPr>
      </w:pPr>
      <w:r w:rsidRPr="00C82E66">
        <w:rPr>
          <w:rFonts w:ascii="Times New Roman" w:hAnsi="Times New Roman"/>
          <w:sz w:val="20"/>
          <w:szCs w:val="20"/>
        </w:rPr>
        <w:t>Inequality decomposition by source</w:t>
      </w:r>
    </w:p>
    <w:tbl>
      <w:tblPr>
        <w:tblW w:w="694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1"/>
        <w:gridCol w:w="937"/>
        <w:gridCol w:w="937"/>
        <w:gridCol w:w="937"/>
        <w:gridCol w:w="937"/>
        <w:gridCol w:w="1372"/>
      </w:tblGrid>
      <w:tr w:rsidR="00D430C4" w:rsidRPr="00C82E66" w:rsidTr="00A524A4">
        <w:trPr>
          <w:trHeight w:val="239"/>
          <w:jc w:val="center"/>
        </w:trPr>
        <w:tc>
          <w:tcPr>
            <w:tcW w:w="1821"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1</w:t>
            </w:r>
          </w:p>
        </w:tc>
        <w:tc>
          <w:tcPr>
            <w:tcW w:w="937"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2</w:t>
            </w:r>
          </w:p>
        </w:tc>
        <w:tc>
          <w:tcPr>
            <w:tcW w:w="937"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3</w:t>
            </w:r>
          </w:p>
        </w:tc>
        <w:tc>
          <w:tcPr>
            <w:tcW w:w="937"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4</w:t>
            </w:r>
          </w:p>
        </w:tc>
        <w:tc>
          <w:tcPr>
            <w:tcW w:w="937"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5</w:t>
            </w:r>
          </w:p>
        </w:tc>
        <w:tc>
          <w:tcPr>
            <w:tcW w:w="1372" w:type="dxa"/>
            <w:shd w:val="clear" w:color="auto" w:fill="auto"/>
            <w:noWrap/>
            <w:vAlign w:val="bottom"/>
            <w:hideMark/>
          </w:tcPr>
          <w:p w:rsidR="00D430C4" w:rsidRPr="00C82E66" w:rsidRDefault="00D430C4" w:rsidP="00A524A4">
            <w:pPr>
              <w:spacing w:after="0" w:line="240" w:lineRule="auto"/>
              <w:jc w:val="center"/>
              <w:rPr>
                <w:rFonts w:ascii="Times New Roman" w:hAnsi="Times New Roman"/>
                <w:b/>
                <w:color w:val="000000"/>
                <w:sz w:val="20"/>
                <w:szCs w:val="20"/>
              </w:rPr>
            </w:pPr>
            <w:r w:rsidRPr="00C82E66">
              <w:rPr>
                <w:rFonts w:ascii="Times New Roman" w:hAnsi="Times New Roman"/>
                <w:b/>
                <w:color w:val="000000"/>
                <w:sz w:val="20"/>
                <w:szCs w:val="20"/>
              </w:rPr>
              <w:t>6</w:t>
            </w:r>
          </w:p>
        </w:tc>
      </w:tr>
      <w:tr w:rsidR="00D430C4" w:rsidRPr="00C82E66" w:rsidTr="00A524A4">
        <w:trPr>
          <w:trHeight w:val="250"/>
          <w:jc w:val="center"/>
        </w:trPr>
        <w:tc>
          <w:tcPr>
            <w:tcW w:w="1821"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r w:rsidRPr="00C82E66">
              <w:rPr>
                <w:rFonts w:ascii="Times New Roman" w:hAnsi="Times New Roman"/>
                <w:color w:val="000000"/>
                <w:sz w:val="20"/>
                <w:szCs w:val="20"/>
              </w:rPr>
              <w:t>Income source</w:t>
            </w:r>
          </w:p>
        </w:tc>
        <w:tc>
          <w:tcPr>
            <w:tcW w:w="937"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proofErr w:type="spellStart"/>
            <w:r w:rsidRPr="00C82E66">
              <w:rPr>
                <w:rFonts w:ascii="Times New Roman" w:hAnsi="Times New Roman"/>
                <w:color w:val="000000"/>
                <w:sz w:val="20"/>
                <w:szCs w:val="20"/>
              </w:rPr>
              <w:t>Sk</w:t>
            </w:r>
            <w:proofErr w:type="spellEnd"/>
          </w:p>
        </w:tc>
        <w:tc>
          <w:tcPr>
            <w:tcW w:w="937"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proofErr w:type="spellStart"/>
            <w:r w:rsidRPr="00C82E66">
              <w:rPr>
                <w:rFonts w:ascii="Times New Roman" w:hAnsi="Times New Roman"/>
                <w:color w:val="000000"/>
                <w:sz w:val="20"/>
                <w:szCs w:val="20"/>
              </w:rPr>
              <w:t>Gk</w:t>
            </w:r>
            <w:proofErr w:type="spellEnd"/>
          </w:p>
        </w:tc>
        <w:tc>
          <w:tcPr>
            <w:tcW w:w="937"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proofErr w:type="spellStart"/>
            <w:r w:rsidRPr="00C82E66">
              <w:rPr>
                <w:rFonts w:ascii="Times New Roman" w:hAnsi="Times New Roman"/>
                <w:color w:val="000000"/>
                <w:sz w:val="20"/>
                <w:szCs w:val="20"/>
              </w:rPr>
              <w:t>Rk</w:t>
            </w:r>
            <w:proofErr w:type="spellEnd"/>
          </w:p>
        </w:tc>
        <w:tc>
          <w:tcPr>
            <w:tcW w:w="937"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r w:rsidRPr="00C82E66">
              <w:rPr>
                <w:rFonts w:ascii="Times New Roman" w:hAnsi="Times New Roman"/>
                <w:color w:val="000000"/>
                <w:sz w:val="20"/>
                <w:szCs w:val="20"/>
              </w:rPr>
              <w:t xml:space="preserve">Share  </w:t>
            </w:r>
          </w:p>
        </w:tc>
        <w:tc>
          <w:tcPr>
            <w:tcW w:w="1372"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r w:rsidRPr="00C82E66">
              <w:rPr>
                <w:rFonts w:ascii="Times New Roman" w:hAnsi="Times New Roman"/>
                <w:color w:val="000000"/>
                <w:sz w:val="20"/>
                <w:szCs w:val="20"/>
              </w:rPr>
              <w:t xml:space="preserve">Impact </w:t>
            </w:r>
          </w:p>
        </w:tc>
      </w:tr>
      <w:tr w:rsidR="00D430C4" w:rsidRPr="00C82E66" w:rsidTr="00A524A4">
        <w:trPr>
          <w:trHeight w:val="250"/>
          <w:jc w:val="center"/>
        </w:trPr>
        <w:tc>
          <w:tcPr>
            <w:tcW w:w="1821"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r w:rsidRPr="00C82E66">
              <w:rPr>
                <w:rFonts w:ascii="Times New Roman" w:hAnsi="Times New Roman"/>
                <w:color w:val="000000"/>
                <w:sz w:val="20"/>
                <w:szCs w:val="20"/>
              </w:rPr>
              <w:t>Remittance income</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0.15</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0.90</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0.49</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0.15</w:t>
            </w:r>
          </w:p>
        </w:tc>
        <w:tc>
          <w:tcPr>
            <w:tcW w:w="1372"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 xml:space="preserve">0.06 </w:t>
            </w:r>
            <w:proofErr w:type="spellStart"/>
            <w:r w:rsidRPr="00C82E66">
              <w:rPr>
                <w:rFonts w:ascii="Times New Roman" w:hAnsi="Times New Roman"/>
                <w:color w:val="000000"/>
                <w:sz w:val="20"/>
                <w:szCs w:val="20"/>
              </w:rPr>
              <w:t>percent</w:t>
            </w:r>
            <w:proofErr w:type="spellEnd"/>
          </w:p>
        </w:tc>
      </w:tr>
      <w:tr w:rsidR="00D430C4" w:rsidRPr="00C82E66" w:rsidTr="00A524A4">
        <w:trPr>
          <w:trHeight w:val="106"/>
          <w:jc w:val="center"/>
        </w:trPr>
        <w:tc>
          <w:tcPr>
            <w:tcW w:w="1821" w:type="dxa"/>
            <w:shd w:val="clear" w:color="auto" w:fill="auto"/>
            <w:noWrap/>
            <w:vAlign w:val="bottom"/>
            <w:hideMark/>
          </w:tcPr>
          <w:p w:rsidR="00D430C4" w:rsidRPr="00C82E66" w:rsidRDefault="00D430C4" w:rsidP="00A524A4">
            <w:pPr>
              <w:spacing w:after="0" w:line="240" w:lineRule="auto"/>
              <w:rPr>
                <w:rFonts w:ascii="Times New Roman" w:hAnsi="Times New Roman"/>
                <w:color w:val="000000"/>
                <w:sz w:val="20"/>
                <w:szCs w:val="20"/>
              </w:rPr>
            </w:pPr>
            <w:r w:rsidRPr="00C82E66">
              <w:rPr>
                <w:rFonts w:ascii="Times New Roman" w:hAnsi="Times New Roman"/>
                <w:color w:val="000000"/>
                <w:sz w:val="20"/>
                <w:szCs w:val="20"/>
              </w:rPr>
              <w:t>Other Income</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0.85</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0.52</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0.85</w:t>
            </w:r>
          </w:p>
        </w:tc>
        <w:tc>
          <w:tcPr>
            <w:tcW w:w="937"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0.85</w:t>
            </w:r>
          </w:p>
        </w:tc>
        <w:tc>
          <w:tcPr>
            <w:tcW w:w="1372" w:type="dxa"/>
            <w:shd w:val="clear" w:color="auto" w:fill="auto"/>
            <w:noWrap/>
            <w:vAlign w:val="bottom"/>
            <w:hideMark/>
          </w:tcPr>
          <w:p w:rsidR="00D430C4" w:rsidRPr="00C82E66" w:rsidRDefault="00D430C4" w:rsidP="00A524A4">
            <w:pPr>
              <w:spacing w:after="0" w:line="240" w:lineRule="auto"/>
              <w:jc w:val="right"/>
              <w:rPr>
                <w:rFonts w:ascii="Times New Roman" w:hAnsi="Times New Roman"/>
                <w:color w:val="000000"/>
                <w:sz w:val="20"/>
                <w:szCs w:val="20"/>
              </w:rPr>
            </w:pPr>
            <w:r w:rsidRPr="00C82E66">
              <w:rPr>
                <w:rFonts w:ascii="Times New Roman" w:hAnsi="Times New Roman"/>
                <w:color w:val="000000"/>
                <w:sz w:val="20"/>
                <w:szCs w:val="20"/>
              </w:rPr>
              <w:t xml:space="preserve">-0.06 </w:t>
            </w:r>
            <w:proofErr w:type="spellStart"/>
            <w:r w:rsidRPr="00C82E66">
              <w:rPr>
                <w:rFonts w:ascii="Times New Roman" w:hAnsi="Times New Roman"/>
                <w:color w:val="000000"/>
                <w:sz w:val="20"/>
                <w:szCs w:val="20"/>
              </w:rPr>
              <w:t>percent</w:t>
            </w:r>
            <w:proofErr w:type="spellEnd"/>
          </w:p>
        </w:tc>
      </w:tr>
    </w:tbl>
    <w:p w:rsidR="00A524A4" w:rsidRDefault="00A524A4" w:rsidP="00A524A4">
      <w:pPr>
        <w:spacing w:after="120" w:line="360" w:lineRule="auto"/>
        <w:jc w:val="both"/>
        <w:rPr>
          <w:rFonts w:ascii="Times New Roman" w:hAnsi="Times New Roman"/>
        </w:rPr>
      </w:pPr>
    </w:p>
    <w:p w:rsidR="00D430C4" w:rsidRPr="006F1FC3" w:rsidRDefault="00D430C4" w:rsidP="00A524A4">
      <w:pPr>
        <w:spacing w:after="120" w:line="360" w:lineRule="auto"/>
        <w:jc w:val="both"/>
        <w:rPr>
          <w:rFonts w:ascii="Times New Roman" w:hAnsi="Times New Roman"/>
        </w:rPr>
      </w:pPr>
      <w:r w:rsidRPr="006F1FC3">
        <w:rPr>
          <w:rFonts w:ascii="Times New Roman" w:hAnsi="Times New Roman"/>
        </w:rPr>
        <w:t>Column 5 of table 1 shows the share of each income source on total income. Column 6 of table shows the effect that a 1 percentage change in income from source k will have on total income inequality. As shown</w:t>
      </w:r>
      <w:r>
        <w:rPr>
          <w:rFonts w:ascii="Times New Roman" w:hAnsi="Times New Roman"/>
        </w:rPr>
        <w:t xml:space="preserve"> in the table, a 1 percentage increas</w:t>
      </w:r>
      <w:r w:rsidRPr="006F1FC3">
        <w:rPr>
          <w:rFonts w:ascii="Times New Roman" w:hAnsi="Times New Roman"/>
        </w:rPr>
        <w:t xml:space="preserve">e in remittance will </w:t>
      </w:r>
      <w:r>
        <w:rPr>
          <w:rFonts w:ascii="Times New Roman" w:hAnsi="Times New Roman"/>
        </w:rPr>
        <w:t>increa</w:t>
      </w:r>
      <w:r w:rsidRPr="006F1FC3">
        <w:rPr>
          <w:rFonts w:ascii="Times New Roman" w:hAnsi="Times New Roman"/>
        </w:rPr>
        <w:t xml:space="preserve">se inequality in consumption expenditure by 0.06 percentages. Thus remittances do seem to have some effect on increasing inequality, but only by a small measure. </w:t>
      </w:r>
      <w:r w:rsidRPr="006F1FC3">
        <w:rPr>
          <w:rFonts w:ascii="Times New Roman" w:hAnsi="Times New Roman"/>
        </w:rPr>
        <w:lastRenderedPageBreak/>
        <w:t xml:space="preserve">Other income than remittances seem to have a much larger role to play in widening inequality between migrants and non-migrants. </w:t>
      </w:r>
    </w:p>
    <w:p w:rsidR="00D430C4" w:rsidRPr="00A524A4" w:rsidRDefault="00D430C4" w:rsidP="00A524A4">
      <w:pPr>
        <w:spacing w:after="120" w:line="360" w:lineRule="auto"/>
        <w:jc w:val="both"/>
        <w:rPr>
          <w:rFonts w:ascii="Times New Roman" w:hAnsi="Times New Roman"/>
        </w:rPr>
      </w:pPr>
      <w:r w:rsidRPr="00A524A4">
        <w:rPr>
          <w:rFonts w:ascii="Times New Roman" w:hAnsi="Times New Roman"/>
        </w:rPr>
        <w:t>Asset-Based Analysis</w:t>
      </w:r>
    </w:p>
    <w:p w:rsidR="00D430C4" w:rsidRDefault="00D430C4" w:rsidP="00A524A4">
      <w:pPr>
        <w:spacing w:after="120" w:line="360" w:lineRule="auto"/>
        <w:jc w:val="both"/>
        <w:rPr>
          <w:rFonts w:ascii="Times New Roman" w:hAnsi="Times New Roman"/>
        </w:rPr>
      </w:pPr>
      <w:r>
        <w:rPr>
          <w:rFonts w:ascii="Times New Roman" w:hAnsi="Times New Roman"/>
        </w:rPr>
        <w:t xml:space="preserve">In 1998 the average value of asset indicator was 23.03 for </w:t>
      </w:r>
      <w:proofErr w:type="spellStart"/>
      <w:r>
        <w:rPr>
          <w:rFonts w:ascii="Times New Roman" w:hAnsi="Times New Roman"/>
        </w:rPr>
        <w:t>non migrant</w:t>
      </w:r>
      <w:proofErr w:type="spellEnd"/>
      <w:r>
        <w:rPr>
          <w:rFonts w:ascii="Times New Roman" w:hAnsi="Times New Roman"/>
        </w:rPr>
        <w:t xml:space="preserve"> households and 34.21 for migrant households. In 2008 the corresponding figures are 40.16 and 51.27 respectively. Thus there exists prima facie evidence for inequality in asset holding between migrant and </w:t>
      </w:r>
      <w:proofErr w:type="spellStart"/>
      <w:r>
        <w:rPr>
          <w:rFonts w:ascii="Times New Roman" w:hAnsi="Times New Roman"/>
        </w:rPr>
        <w:t>non migrant</w:t>
      </w:r>
      <w:proofErr w:type="spellEnd"/>
      <w:r>
        <w:rPr>
          <w:rFonts w:ascii="Times New Roman" w:hAnsi="Times New Roman"/>
        </w:rPr>
        <w:t xml:space="preserve"> households. To confirm the role of migration in inequality, </w:t>
      </w:r>
      <w:proofErr w:type="gramStart"/>
      <w:r>
        <w:rPr>
          <w:rFonts w:ascii="Times New Roman" w:hAnsi="Times New Roman"/>
        </w:rPr>
        <w:t xml:space="preserve">a </w:t>
      </w:r>
      <w:proofErr w:type="spellStart"/>
      <w:r>
        <w:rPr>
          <w:rFonts w:ascii="Times New Roman" w:hAnsi="Times New Roman"/>
        </w:rPr>
        <w:t>Theil</w:t>
      </w:r>
      <w:proofErr w:type="spellEnd"/>
      <w:proofErr w:type="gramEnd"/>
      <w:r>
        <w:rPr>
          <w:rFonts w:ascii="Times New Roman" w:hAnsi="Times New Roman"/>
        </w:rPr>
        <w:t xml:space="preserve"> Index decomposition was performed.</w:t>
      </w:r>
    </w:p>
    <w:p w:rsidR="00D430C4" w:rsidRDefault="00D430C4" w:rsidP="00A524A4">
      <w:pPr>
        <w:spacing w:after="120" w:line="360" w:lineRule="auto"/>
        <w:jc w:val="both"/>
        <w:rPr>
          <w:rFonts w:ascii="Times New Roman" w:hAnsi="Times New Roman"/>
        </w:rPr>
      </w:pPr>
      <w:r w:rsidRPr="006F1FC3">
        <w:rPr>
          <w:rFonts w:ascii="Times New Roman" w:hAnsi="Times New Roman"/>
        </w:rPr>
        <w:t>Table 2 shows the decomposition of total inequality in the scores of asset indicator among the households into between</w:t>
      </w:r>
      <w:r>
        <w:rPr>
          <w:rFonts w:ascii="Times New Roman" w:hAnsi="Times New Roman"/>
        </w:rPr>
        <w:t xml:space="preserve"> group (Migrant and Non migrant</w:t>
      </w:r>
      <w:r w:rsidRPr="006F1FC3">
        <w:rPr>
          <w:rFonts w:ascii="Times New Roman" w:hAnsi="Times New Roman"/>
        </w:rPr>
        <w:t xml:space="preserve">) and within group components for both 1998 and 2008.Column 2 shows total inequality of asset indicator which is represented by </w:t>
      </w:r>
      <w:proofErr w:type="spellStart"/>
      <w:r w:rsidRPr="006F1FC3">
        <w:rPr>
          <w:rFonts w:ascii="Times New Roman" w:hAnsi="Times New Roman"/>
        </w:rPr>
        <w:t>Theil’s</w:t>
      </w:r>
      <w:proofErr w:type="spellEnd"/>
      <w:r w:rsidRPr="006F1FC3">
        <w:rPr>
          <w:rFonts w:ascii="Times New Roman" w:hAnsi="Times New Roman"/>
        </w:rPr>
        <w:t xml:space="preserve"> T (GE(1)) index. This index is decomposed into within and between components in columns 3 and 4 respectively. Column 5, 6 shows the percentage share of within and between components in total inequality.</w:t>
      </w:r>
    </w:p>
    <w:p w:rsidR="00A524A4" w:rsidRPr="00A524A4" w:rsidRDefault="00A524A4" w:rsidP="00A524A4">
      <w:pPr>
        <w:spacing w:after="120" w:line="240" w:lineRule="auto"/>
        <w:jc w:val="center"/>
        <w:rPr>
          <w:rFonts w:ascii="Times New Roman" w:hAnsi="Times New Roman"/>
          <w:sz w:val="20"/>
          <w:szCs w:val="20"/>
        </w:rPr>
      </w:pPr>
      <w:r w:rsidRPr="00A524A4">
        <w:rPr>
          <w:rFonts w:ascii="Times New Roman" w:hAnsi="Times New Roman"/>
          <w:sz w:val="20"/>
          <w:szCs w:val="20"/>
        </w:rPr>
        <w:t xml:space="preserve">Table 2 </w:t>
      </w:r>
    </w:p>
    <w:p w:rsidR="00D430C4" w:rsidRPr="00A524A4" w:rsidRDefault="00D430C4" w:rsidP="00A524A4">
      <w:pPr>
        <w:spacing w:after="0" w:line="240" w:lineRule="auto"/>
        <w:jc w:val="center"/>
        <w:rPr>
          <w:rFonts w:ascii="Times New Roman" w:hAnsi="Times New Roman"/>
          <w:sz w:val="20"/>
          <w:szCs w:val="20"/>
        </w:rPr>
      </w:pPr>
      <w:r w:rsidRPr="00A524A4">
        <w:rPr>
          <w:rFonts w:ascii="Times New Roman" w:hAnsi="Times New Roman"/>
          <w:sz w:val="20"/>
          <w:szCs w:val="20"/>
        </w:rPr>
        <w:t xml:space="preserve">Decomposition of </w:t>
      </w:r>
      <w:proofErr w:type="spellStart"/>
      <w:r w:rsidRPr="00A524A4">
        <w:rPr>
          <w:rFonts w:ascii="Times New Roman" w:hAnsi="Times New Roman"/>
          <w:sz w:val="20"/>
          <w:szCs w:val="20"/>
        </w:rPr>
        <w:t>Theil</w:t>
      </w:r>
      <w:proofErr w:type="spellEnd"/>
      <w:r w:rsidRPr="00A524A4">
        <w:rPr>
          <w:rFonts w:ascii="Times New Roman" w:hAnsi="Times New Roman"/>
          <w:sz w:val="20"/>
          <w:szCs w:val="20"/>
        </w:rPr>
        <w:t xml:space="preserve"> Index</w:t>
      </w:r>
    </w:p>
    <w:tbl>
      <w:tblPr>
        <w:tblW w:w="6705" w:type="dxa"/>
        <w:jc w:val="center"/>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1"/>
        <w:gridCol w:w="951"/>
        <w:gridCol w:w="951"/>
        <w:gridCol w:w="951"/>
        <w:gridCol w:w="1393"/>
        <w:gridCol w:w="1508"/>
      </w:tblGrid>
      <w:tr w:rsidR="00D430C4" w:rsidRPr="00A524A4" w:rsidTr="00A524A4">
        <w:trPr>
          <w:trHeight w:val="271"/>
          <w:jc w:val="center"/>
        </w:trPr>
        <w:tc>
          <w:tcPr>
            <w:tcW w:w="951"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1</w:t>
            </w:r>
          </w:p>
        </w:tc>
        <w:tc>
          <w:tcPr>
            <w:tcW w:w="951"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2</w:t>
            </w:r>
          </w:p>
        </w:tc>
        <w:tc>
          <w:tcPr>
            <w:tcW w:w="951"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3</w:t>
            </w:r>
          </w:p>
        </w:tc>
        <w:tc>
          <w:tcPr>
            <w:tcW w:w="951"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4</w:t>
            </w:r>
          </w:p>
        </w:tc>
        <w:tc>
          <w:tcPr>
            <w:tcW w:w="1393"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5</w:t>
            </w:r>
          </w:p>
        </w:tc>
        <w:tc>
          <w:tcPr>
            <w:tcW w:w="1508" w:type="dxa"/>
            <w:tcBorders>
              <w:top w:val="single" w:sz="8" w:space="0" w:color="000000"/>
              <w:left w:val="single" w:sz="8" w:space="0" w:color="000000"/>
              <w:bottom w:val="single" w:sz="8" w:space="0" w:color="000000"/>
              <w:right w:val="single" w:sz="8" w:space="0" w:color="000000"/>
            </w:tcBorders>
            <w:noWrap/>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6</w:t>
            </w:r>
          </w:p>
        </w:tc>
      </w:tr>
      <w:tr w:rsidR="00D430C4" w:rsidRPr="00A524A4" w:rsidTr="00A524A4">
        <w:trPr>
          <w:trHeight w:val="48"/>
          <w:jc w:val="center"/>
        </w:trPr>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Year</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Total</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Within</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Between</w:t>
            </w:r>
          </w:p>
        </w:tc>
        <w:tc>
          <w:tcPr>
            <w:tcW w:w="1393"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Within Share</w:t>
            </w:r>
          </w:p>
        </w:tc>
        <w:tc>
          <w:tcPr>
            <w:tcW w:w="1508"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Between Share</w:t>
            </w:r>
          </w:p>
        </w:tc>
      </w:tr>
      <w:tr w:rsidR="00D430C4" w:rsidRPr="00A524A4" w:rsidTr="00A524A4">
        <w:trPr>
          <w:trHeight w:val="142"/>
          <w:jc w:val="center"/>
        </w:trPr>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1998</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0.28</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0.26</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0.02</w:t>
            </w:r>
          </w:p>
        </w:tc>
        <w:tc>
          <w:tcPr>
            <w:tcW w:w="1393"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 xml:space="preserve">93.32 </w:t>
            </w:r>
            <w:proofErr w:type="spellStart"/>
            <w:r w:rsidRPr="00A524A4">
              <w:rPr>
                <w:rFonts w:ascii="Times New Roman" w:hAnsi="Times New Roman"/>
                <w:color w:val="000000"/>
                <w:sz w:val="20"/>
                <w:szCs w:val="20"/>
              </w:rPr>
              <w:t>percent</w:t>
            </w:r>
            <w:proofErr w:type="spellEnd"/>
          </w:p>
        </w:tc>
        <w:tc>
          <w:tcPr>
            <w:tcW w:w="1508"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 xml:space="preserve">6.68 </w:t>
            </w:r>
            <w:proofErr w:type="spellStart"/>
            <w:r w:rsidRPr="00A524A4">
              <w:rPr>
                <w:rFonts w:ascii="Times New Roman" w:hAnsi="Times New Roman"/>
                <w:color w:val="000000"/>
                <w:sz w:val="20"/>
                <w:szCs w:val="20"/>
              </w:rPr>
              <w:t>percent</w:t>
            </w:r>
            <w:proofErr w:type="spellEnd"/>
          </w:p>
        </w:tc>
      </w:tr>
      <w:tr w:rsidR="00D430C4" w:rsidRPr="00A524A4" w:rsidTr="00A524A4">
        <w:trPr>
          <w:trHeight w:val="48"/>
          <w:jc w:val="center"/>
        </w:trPr>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2008</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0.12</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0.12</w:t>
            </w:r>
          </w:p>
        </w:tc>
        <w:tc>
          <w:tcPr>
            <w:tcW w:w="951"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0.01</w:t>
            </w:r>
          </w:p>
        </w:tc>
        <w:tc>
          <w:tcPr>
            <w:tcW w:w="1393"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 xml:space="preserve">94.28 </w:t>
            </w:r>
            <w:proofErr w:type="spellStart"/>
            <w:r w:rsidRPr="00A524A4">
              <w:rPr>
                <w:rFonts w:ascii="Times New Roman" w:hAnsi="Times New Roman"/>
                <w:color w:val="000000"/>
                <w:sz w:val="20"/>
                <w:szCs w:val="20"/>
              </w:rPr>
              <w:t>percent</w:t>
            </w:r>
            <w:proofErr w:type="spellEnd"/>
          </w:p>
        </w:tc>
        <w:tc>
          <w:tcPr>
            <w:tcW w:w="1508" w:type="dxa"/>
            <w:tcBorders>
              <w:top w:val="single" w:sz="8" w:space="0" w:color="000000"/>
              <w:left w:val="single" w:sz="8" w:space="0" w:color="000000"/>
              <w:bottom w:val="single" w:sz="8" w:space="0" w:color="000000"/>
              <w:right w:val="single" w:sz="8" w:space="0" w:color="000000"/>
            </w:tcBorders>
            <w:vAlign w:val="bottom"/>
            <w:hideMark/>
          </w:tcPr>
          <w:p w:rsidR="00D430C4" w:rsidRPr="00A524A4" w:rsidRDefault="00D430C4" w:rsidP="00A524A4">
            <w:pPr>
              <w:spacing w:after="0" w:line="240" w:lineRule="auto"/>
              <w:jc w:val="center"/>
              <w:rPr>
                <w:rFonts w:ascii="Times New Roman" w:hAnsi="Times New Roman"/>
                <w:color w:val="000000"/>
                <w:sz w:val="20"/>
                <w:szCs w:val="20"/>
              </w:rPr>
            </w:pPr>
            <w:r w:rsidRPr="00A524A4">
              <w:rPr>
                <w:rFonts w:ascii="Times New Roman" w:hAnsi="Times New Roman"/>
                <w:color w:val="000000"/>
                <w:sz w:val="20"/>
                <w:szCs w:val="20"/>
              </w:rPr>
              <w:t xml:space="preserve">5.72 </w:t>
            </w:r>
            <w:proofErr w:type="spellStart"/>
            <w:r w:rsidRPr="00A524A4">
              <w:rPr>
                <w:rFonts w:ascii="Times New Roman" w:hAnsi="Times New Roman"/>
                <w:color w:val="000000"/>
                <w:sz w:val="20"/>
                <w:szCs w:val="20"/>
              </w:rPr>
              <w:t>percent</w:t>
            </w:r>
            <w:proofErr w:type="spellEnd"/>
          </w:p>
        </w:tc>
      </w:tr>
    </w:tbl>
    <w:p w:rsidR="00D430C4" w:rsidRPr="006F1FC3" w:rsidRDefault="00D430C4" w:rsidP="00D430C4">
      <w:pPr>
        <w:spacing w:line="360" w:lineRule="auto"/>
        <w:rPr>
          <w:lang w:eastAsia="ar-SA"/>
        </w:rPr>
      </w:pPr>
    </w:p>
    <w:p w:rsidR="00D430C4" w:rsidRPr="006F1FC3" w:rsidRDefault="00D430C4" w:rsidP="00A524A4">
      <w:pPr>
        <w:spacing w:after="120" w:line="360" w:lineRule="auto"/>
        <w:jc w:val="both"/>
        <w:rPr>
          <w:rFonts w:ascii="Times New Roman" w:hAnsi="Times New Roman"/>
        </w:rPr>
      </w:pPr>
      <w:r w:rsidRPr="006F1FC3">
        <w:rPr>
          <w:rFonts w:ascii="Times New Roman" w:hAnsi="Times New Roman"/>
        </w:rPr>
        <w:t>Table 2 shows that overall inequality of asset ownership declined in the 10 year period. It is the inequality between the groups that matters more in total asset inequality. In 1998 around 93</w:t>
      </w:r>
      <w:r>
        <w:rPr>
          <w:rFonts w:ascii="Times New Roman" w:hAnsi="Times New Roman"/>
        </w:rPr>
        <w:t xml:space="preserve"> </w:t>
      </w:r>
      <w:r w:rsidRPr="006F1FC3">
        <w:rPr>
          <w:rFonts w:ascii="Times New Roman" w:hAnsi="Times New Roman"/>
        </w:rPr>
        <w:t xml:space="preserve">percentage of total inequality in </w:t>
      </w:r>
      <w:r w:rsidRPr="006F1FC3">
        <w:rPr>
          <w:rFonts w:ascii="Times New Roman" w:hAnsi="Times New Roman"/>
        </w:rPr>
        <w:lastRenderedPageBreak/>
        <w:t xml:space="preserve">asset based standard of living in Kerala is due to inequality among migrant households and </w:t>
      </w:r>
      <w:proofErr w:type="spellStart"/>
      <w:r w:rsidRPr="006F1FC3">
        <w:rPr>
          <w:rFonts w:ascii="Times New Roman" w:hAnsi="Times New Roman"/>
        </w:rPr>
        <w:t>non migrant</w:t>
      </w:r>
      <w:proofErr w:type="spellEnd"/>
      <w:r w:rsidRPr="006F1FC3">
        <w:rPr>
          <w:rFonts w:ascii="Times New Roman" w:hAnsi="Times New Roman"/>
        </w:rPr>
        <w:t xml:space="preserve"> households. Around 7 </w:t>
      </w:r>
      <w:r>
        <w:rPr>
          <w:rFonts w:ascii="Times New Roman" w:hAnsi="Times New Roman"/>
        </w:rPr>
        <w:t xml:space="preserve">percentage of </w:t>
      </w:r>
      <w:r w:rsidRPr="006F1FC3">
        <w:rPr>
          <w:rFonts w:ascii="Times New Roman" w:hAnsi="Times New Roman"/>
        </w:rPr>
        <w:t xml:space="preserve">total inequality in asset based standard of living in Kerala is due to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In 2008 around 94 percentage of total inequality in asset based standard of living in Kerala is due to inequality among migrant households and </w:t>
      </w:r>
      <w:proofErr w:type="spellStart"/>
      <w:r w:rsidRPr="006F1FC3">
        <w:rPr>
          <w:rFonts w:ascii="Times New Roman" w:hAnsi="Times New Roman"/>
        </w:rPr>
        <w:t>non migrant</w:t>
      </w:r>
      <w:proofErr w:type="spellEnd"/>
      <w:r w:rsidRPr="006F1FC3">
        <w:rPr>
          <w:rFonts w:ascii="Times New Roman" w:hAnsi="Times New Roman"/>
        </w:rPr>
        <w:t xml:space="preserve"> households. Around 6</w:t>
      </w:r>
      <w:r>
        <w:rPr>
          <w:rFonts w:ascii="Times New Roman" w:hAnsi="Times New Roman"/>
        </w:rPr>
        <w:t xml:space="preserve"> </w:t>
      </w:r>
      <w:r w:rsidRPr="006F1FC3">
        <w:rPr>
          <w:rFonts w:ascii="Times New Roman" w:hAnsi="Times New Roman"/>
        </w:rPr>
        <w:t xml:space="preserve">percentage of total inequality in asset based standard of living in Kerala is due to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Thus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do contribute to total inequality but by a small amount. More importantly migration’s contribution to inequality has declined in past one decade though the decline is marginal. The migrant – non migrant does contribute positively to Kerala’s inequality situation. But one fails to gather sufficient evidence to prove that the magnitude of the contribution is substantial. As mentioned before this result is based on GE (1) </w:t>
      </w:r>
      <w:proofErr w:type="spellStart"/>
      <w:r w:rsidRPr="006F1FC3">
        <w:rPr>
          <w:rFonts w:ascii="Times New Roman" w:hAnsi="Times New Roman"/>
        </w:rPr>
        <w:t>Theil’s</w:t>
      </w:r>
      <w:proofErr w:type="spellEnd"/>
      <w:r w:rsidRPr="006F1FC3">
        <w:rPr>
          <w:rFonts w:ascii="Times New Roman" w:hAnsi="Times New Roman"/>
        </w:rPr>
        <w:t xml:space="preserve"> T measure of inequality. When </w:t>
      </w:r>
      <w:proofErr w:type="spellStart"/>
      <w:r w:rsidRPr="006F1FC3">
        <w:rPr>
          <w:rFonts w:ascii="Times New Roman" w:hAnsi="Times New Roman"/>
        </w:rPr>
        <w:t>Theil’s</w:t>
      </w:r>
      <w:proofErr w:type="spellEnd"/>
      <w:r w:rsidRPr="006F1FC3">
        <w:rPr>
          <w:rFonts w:ascii="Times New Roman" w:hAnsi="Times New Roman"/>
        </w:rPr>
        <w:t xml:space="preserve"> L was used the contribution of within group component rose to 95 percentage in 1998 and 96.8 percentage in 2008. </w:t>
      </w:r>
    </w:p>
    <w:p w:rsidR="00D430C4" w:rsidRPr="00A524A4" w:rsidRDefault="00D430C4" w:rsidP="00A524A4">
      <w:pPr>
        <w:spacing w:after="120" w:line="360" w:lineRule="auto"/>
        <w:rPr>
          <w:rFonts w:ascii="Times New Roman" w:hAnsi="Times New Roman"/>
          <w:b/>
          <w:noProof/>
        </w:rPr>
      </w:pPr>
      <w:r w:rsidRPr="00A524A4">
        <w:rPr>
          <w:rFonts w:ascii="Times New Roman" w:hAnsi="Times New Roman"/>
          <w:b/>
          <w:noProof/>
        </w:rPr>
        <w:t xml:space="preserve">Household characteristics and Asset Based Inequality </w:t>
      </w:r>
    </w:p>
    <w:p w:rsidR="00D430C4" w:rsidRPr="006F1FC3" w:rsidRDefault="00D430C4" w:rsidP="00A524A4">
      <w:pPr>
        <w:spacing w:after="120" w:line="360" w:lineRule="auto"/>
        <w:jc w:val="both"/>
        <w:rPr>
          <w:rFonts w:ascii="Times New Roman" w:hAnsi="Times New Roman"/>
        </w:rPr>
      </w:pPr>
      <w:r w:rsidRPr="006F1FC3">
        <w:rPr>
          <w:rFonts w:ascii="Times New Roman" w:hAnsi="Times New Roman"/>
        </w:rPr>
        <w:t>It may be the case that various other inequalities among households are reappearing as inequalities among migrant/non migrant households. This possibility demands the identification of other factors that are causing inequalities among households. The information about other socio economic characteristics of the households available with the 1998 and 2008 rounds of KMS is used to see if SOL of households (represented by SOLI) varies with those characteristics</w:t>
      </w:r>
    </w:p>
    <w:p w:rsidR="00D430C4" w:rsidRPr="006F1FC3" w:rsidRDefault="00D430C4" w:rsidP="00A524A4">
      <w:pPr>
        <w:spacing w:after="120" w:line="360" w:lineRule="auto"/>
        <w:rPr>
          <w:rFonts w:ascii="Times New Roman" w:hAnsi="Times New Roman"/>
        </w:rPr>
      </w:pPr>
      <w:r w:rsidRPr="006F1FC3">
        <w:rPr>
          <w:rFonts w:ascii="Times New Roman" w:hAnsi="Times New Roman"/>
        </w:rPr>
        <w:lastRenderedPageBreak/>
        <w:t>Information is available about the following characteristics in 1998 and 2008 round of KMS.</w:t>
      </w:r>
    </w:p>
    <w:p w:rsidR="00D430C4" w:rsidRPr="006F1FC3" w:rsidRDefault="00D430C4" w:rsidP="00A524A4">
      <w:pPr>
        <w:spacing w:after="120" w:line="360" w:lineRule="auto"/>
        <w:ind w:left="284" w:hanging="284"/>
        <w:jc w:val="both"/>
        <w:rPr>
          <w:rFonts w:ascii="Times New Roman" w:hAnsi="Times New Roman"/>
        </w:rPr>
      </w:pPr>
      <w:r w:rsidRPr="006F1FC3">
        <w:rPr>
          <w:rFonts w:ascii="Times New Roman" w:hAnsi="Times New Roman"/>
        </w:rPr>
        <w:t xml:space="preserve">1. Sex of head of Household - In 2008 a Male headed household (HHs hereafter) have 45.22 as the average value of the asset index. </w:t>
      </w:r>
      <w:proofErr w:type="gramStart"/>
      <w:r w:rsidRPr="006F1FC3">
        <w:rPr>
          <w:rFonts w:ascii="Times New Roman" w:hAnsi="Times New Roman"/>
        </w:rPr>
        <w:t>While it is only 41.23 for a Female headed household.</w:t>
      </w:r>
      <w:proofErr w:type="gramEnd"/>
      <w:r w:rsidRPr="006F1FC3">
        <w:rPr>
          <w:rFonts w:ascii="Times New Roman" w:hAnsi="Times New Roman"/>
        </w:rPr>
        <w:t xml:space="preserve"> Corresponding figures for 1998 were 27.54 and 26.75.</w:t>
      </w:r>
      <w:r>
        <w:rPr>
          <w:rFonts w:ascii="Times New Roman" w:hAnsi="Times New Roman"/>
        </w:rPr>
        <w:t xml:space="preserve"> </w:t>
      </w:r>
      <w:r w:rsidRPr="006F1FC3">
        <w:rPr>
          <w:rFonts w:ascii="Times New Roman" w:hAnsi="Times New Roman"/>
        </w:rPr>
        <w:t>Thus gender based gap in SOLI widened in the 10 years.</w:t>
      </w:r>
    </w:p>
    <w:p w:rsidR="00D430C4" w:rsidRPr="006F1FC3" w:rsidRDefault="00D430C4" w:rsidP="00FD3AB6">
      <w:pPr>
        <w:spacing w:after="120" w:line="360" w:lineRule="auto"/>
        <w:ind w:left="284" w:hanging="284"/>
        <w:jc w:val="both"/>
        <w:rPr>
          <w:rFonts w:ascii="Times New Roman" w:hAnsi="Times New Roman"/>
        </w:rPr>
      </w:pPr>
      <w:r w:rsidRPr="006F1FC3">
        <w:rPr>
          <w:rFonts w:ascii="Times New Roman" w:hAnsi="Times New Roman"/>
        </w:rPr>
        <w:t>2. Caste and migration - Based on information about religion and cast of members of households. The households are classified into Scheduled Cast/Scheduled tribes (SC/ST), Other Backward Classes (OBC) and GENERAL (households who does not belong to SC/ST/OBC). The following table shows the mean value of asset index for these three socio economic groups.</w:t>
      </w:r>
    </w:p>
    <w:p w:rsidR="00A524A4" w:rsidRPr="00A524A4" w:rsidRDefault="00A524A4" w:rsidP="00FD3AB6">
      <w:pPr>
        <w:spacing w:after="120" w:line="360" w:lineRule="auto"/>
        <w:jc w:val="center"/>
        <w:rPr>
          <w:rFonts w:ascii="Times New Roman" w:hAnsi="Times New Roman"/>
          <w:sz w:val="20"/>
          <w:szCs w:val="20"/>
        </w:rPr>
      </w:pPr>
      <w:r w:rsidRPr="00A524A4">
        <w:rPr>
          <w:rFonts w:ascii="Times New Roman" w:hAnsi="Times New Roman"/>
          <w:sz w:val="20"/>
          <w:szCs w:val="20"/>
        </w:rPr>
        <w:t>Table 3</w:t>
      </w:r>
    </w:p>
    <w:p w:rsidR="00D430C4" w:rsidRPr="00A524A4" w:rsidRDefault="00D430C4" w:rsidP="00A524A4">
      <w:pPr>
        <w:spacing w:after="0" w:line="360" w:lineRule="auto"/>
        <w:jc w:val="center"/>
        <w:rPr>
          <w:rFonts w:ascii="Times New Roman" w:hAnsi="Times New Roman"/>
          <w:sz w:val="20"/>
          <w:szCs w:val="20"/>
        </w:rPr>
      </w:pPr>
      <w:r w:rsidRPr="00A524A4">
        <w:rPr>
          <w:rFonts w:ascii="Times New Roman" w:hAnsi="Times New Roman"/>
          <w:sz w:val="20"/>
          <w:szCs w:val="20"/>
        </w:rPr>
        <w:t>SOLI scores for Socio economic groups.</w:t>
      </w:r>
    </w:p>
    <w:tbl>
      <w:tblPr>
        <w:tblW w:w="0" w:type="auto"/>
        <w:jc w:val="center"/>
        <w:tblLook w:val="0000" w:firstRow="0" w:lastRow="0" w:firstColumn="0" w:lastColumn="0" w:noHBand="0" w:noVBand="0"/>
      </w:tblPr>
      <w:tblGrid>
        <w:gridCol w:w="1150"/>
        <w:gridCol w:w="1311"/>
        <w:gridCol w:w="1683"/>
        <w:gridCol w:w="1311"/>
        <w:gridCol w:w="1683"/>
      </w:tblGrid>
      <w:tr w:rsidR="00D430C4" w:rsidRPr="00A524A4" w:rsidTr="007F3C67">
        <w:trPr>
          <w:trHeight w:val="247"/>
          <w:jc w:val="center"/>
        </w:trPr>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rPr>
                <w:rFonts w:ascii="Times New Roman" w:hAnsi="Times New Roman"/>
                <w:color w:val="000000"/>
                <w:sz w:val="20"/>
                <w:szCs w:val="20"/>
              </w:rPr>
            </w:pP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center"/>
              <w:rPr>
                <w:rFonts w:ascii="Times New Roman" w:hAnsi="Times New Roman"/>
                <w:color w:val="000000"/>
                <w:sz w:val="20"/>
                <w:szCs w:val="20"/>
              </w:rPr>
            </w:pPr>
            <w:r w:rsidRPr="00A524A4">
              <w:rPr>
                <w:rFonts w:ascii="Times New Roman" w:hAnsi="Times New Roman"/>
                <w:color w:val="000000"/>
                <w:sz w:val="20"/>
                <w:szCs w:val="20"/>
              </w:rPr>
              <w:t>Migrant 2008</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center"/>
              <w:rPr>
                <w:rFonts w:ascii="Times New Roman" w:hAnsi="Times New Roman"/>
                <w:color w:val="000000"/>
                <w:sz w:val="20"/>
                <w:szCs w:val="20"/>
              </w:rPr>
            </w:pPr>
            <w:r w:rsidRPr="00A524A4">
              <w:rPr>
                <w:rFonts w:ascii="Times New Roman" w:hAnsi="Times New Roman"/>
                <w:color w:val="000000"/>
                <w:sz w:val="20"/>
                <w:szCs w:val="20"/>
              </w:rPr>
              <w:t>Non migrant 2008</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center"/>
              <w:rPr>
                <w:rFonts w:ascii="Times New Roman" w:hAnsi="Times New Roman"/>
                <w:color w:val="000000"/>
                <w:sz w:val="20"/>
                <w:szCs w:val="20"/>
              </w:rPr>
            </w:pPr>
            <w:r w:rsidRPr="00A524A4">
              <w:rPr>
                <w:rFonts w:ascii="Times New Roman" w:hAnsi="Times New Roman"/>
                <w:color w:val="000000"/>
                <w:sz w:val="20"/>
                <w:szCs w:val="20"/>
              </w:rPr>
              <w:t>Migrant 1998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A524A4" w:rsidRDefault="00D430C4" w:rsidP="00FD3AB6">
            <w:pPr>
              <w:snapToGrid w:val="0"/>
              <w:spacing w:after="100" w:afterAutospacing="1" w:line="240" w:lineRule="auto"/>
              <w:jc w:val="center"/>
              <w:rPr>
                <w:rFonts w:ascii="Times New Roman" w:hAnsi="Times New Roman"/>
                <w:color w:val="000000"/>
                <w:sz w:val="20"/>
                <w:szCs w:val="20"/>
              </w:rPr>
            </w:pPr>
            <w:r w:rsidRPr="00A524A4">
              <w:rPr>
                <w:rFonts w:ascii="Times New Roman" w:hAnsi="Times New Roman"/>
                <w:color w:val="000000"/>
                <w:sz w:val="20"/>
                <w:szCs w:val="20"/>
              </w:rPr>
              <w:t>Non migrant 1998</w:t>
            </w:r>
          </w:p>
        </w:tc>
      </w:tr>
      <w:tr w:rsidR="00D430C4" w:rsidRPr="00A524A4" w:rsidTr="00A524A4">
        <w:trPr>
          <w:trHeight w:val="215"/>
          <w:jc w:val="center"/>
        </w:trPr>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rPr>
                <w:rFonts w:ascii="Times New Roman" w:hAnsi="Times New Roman"/>
                <w:color w:val="000000"/>
                <w:sz w:val="20"/>
                <w:szCs w:val="20"/>
              </w:rPr>
            </w:pPr>
            <w:r w:rsidRPr="00A524A4">
              <w:rPr>
                <w:rFonts w:ascii="Times New Roman" w:hAnsi="Times New Roman"/>
                <w:color w:val="000000"/>
                <w:sz w:val="20"/>
                <w:szCs w:val="20"/>
              </w:rPr>
              <w:t>GENERAL</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55.26</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45.26</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39.77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27.56</w:t>
            </w:r>
          </w:p>
        </w:tc>
      </w:tr>
      <w:tr w:rsidR="00D430C4" w:rsidRPr="00A524A4" w:rsidTr="007F3C67">
        <w:trPr>
          <w:trHeight w:val="247"/>
          <w:jc w:val="center"/>
        </w:trPr>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rPr>
                <w:rFonts w:ascii="Times New Roman" w:hAnsi="Times New Roman"/>
                <w:color w:val="000000"/>
                <w:sz w:val="20"/>
                <w:szCs w:val="20"/>
              </w:rPr>
            </w:pPr>
            <w:r w:rsidRPr="00A524A4">
              <w:rPr>
                <w:rFonts w:ascii="Times New Roman" w:hAnsi="Times New Roman"/>
                <w:color w:val="000000"/>
                <w:sz w:val="20"/>
                <w:szCs w:val="20"/>
              </w:rPr>
              <w:t>OBC</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49.49</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39.61</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31.89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22.84</w:t>
            </w:r>
          </w:p>
        </w:tc>
      </w:tr>
      <w:tr w:rsidR="00D430C4" w:rsidRPr="00A524A4" w:rsidTr="00A524A4">
        <w:trPr>
          <w:trHeight w:val="197"/>
          <w:jc w:val="center"/>
        </w:trPr>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rPr>
                <w:rFonts w:ascii="Times New Roman" w:hAnsi="Times New Roman"/>
                <w:color w:val="000000"/>
                <w:sz w:val="20"/>
                <w:szCs w:val="20"/>
              </w:rPr>
            </w:pPr>
            <w:r w:rsidRPr="00A524A4">
              <w:rPr>
                <w:rFonts w:ascii="Times New Roman" w:hAnsi="Times New Roman"/>
                <w:color w:val="000000"/>
                <w:sz w:val="20"/>
                <w:szCs w:val="20"/>
              </w:rPr>
              <w:t>SC/ST</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38.43</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27.92</w:t>
            </w:r>
          </w:p>
        </w:tc>
        <w:tc>
          <w:tcPr>
            <w:tcW w:w="0" w:type="auto"/>
            <w:tcBorders>
              <w:top w:val="single" w:sz="4" w:space="0" w:color="000000"/>
              <w:left w:val="single" w:sz="4" w:space="0" w:color="000000"/>
              <w:bottom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18.02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A524A4" w:rsidRDefault="00D430C4" w:rsidP="00FD3AB6">
            <w:pPr>
              <w:snapToGrid w:val="0"/>
              <w:spacing w:after="100" w:afterAutospacing="1" w:line="240" w:lineRule="auto"/>
              <w:jc w:val="right"/>
              <w:rPr>
                <w:rFonts w:ascii="Times New Roman" w:hAnsi="Times New Roman"/>
                <w:color w:val="000000"/>
                <w:sz w:val="20"/>
                <w:szCs w:val="20"/>
              </w:rPr>
            </w:pPr>
            <w:r w:rsidRPr="00A524A4">
              <w:rPr>
                <w:rFonts w:ascii="Times New Roman" w:hAnsi="Times New Roman"/>
                <w:color w:val="000000"/>
                <w:sz w:val="20"/>
                <w:szCs w:val="20"/>
              </w:rPr>
              <w:t>11.90</w:t>
            </w:r>
          </w:p>
        </w:tc>
      </w:tr>
    </w:tbl>
    <w:p w:rsidR="00FD3AB6" w:rsidRDefault="00FD3AB6" w:rsidP="00FD3AB6">
      <w:pPr>
        <w:spacing w:after="120" w:line="360" w:lineRule="auto"/>
        <w:jc w:val="both"/>
        <w:rPr>
          <w:rFonts w:ascii="Times New Roman" w:hAnsi="Times New Roman"/>
        </w:rPr>
      </w:pPr>
    </w:p>
    <w:p w:rsidR="00D430C4" w:rsidRPr="00730A38" w:rsidRDefault="00D430C4" w:rsidP="00FD3AB6">
      <w:pPr>
        <w:spacing w:after="120" w:line="360" w:lineRule="auto"/>
        <w:jc w:val="both"/>
        <w:rPr>
          <w:rFonts w:ascii="Times New Roman" w:hAnsi="Times New Roman"/>
          <w:color w:val="000000"/>
        </w:rPr>
      </w:pPr>
      <w:r w:rsidRPr="006F1FC3">
        <w:rPr>
          <w:rFonts w:ascii="Times New Roman" w:hAnsi="Times New Roman"/>
        </w:rPr>
        <w:t xml:space="preserve">In 1998-2008, the relative positions of SC/ST, OBC and GENERAL category households remain same for both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This indicates that migration reinforces existing inter group inequalities. But the disparity between migrant/non migrant households (migrant being better than </w:t>
      </w:r>
      <w:proofErr w:type="spellStart"/>
      <w:r w:rsidRPr="006F1FC3">
        <w:rPr>
          <w:rFonts w:ascii="Times New Roman" w:hAnsi="Times New Roman"/>
        </w:rPr>
        <w:t>n</w:t>
      </w:r>
      <w:r>
        <w:rPr>
          <w:rFonts w:ascii="Times New Roman" w:hAnsi="Times New Roman"/>
        </w:rPr>
        <w:t>on</w:t>
      </w:r>
      <w:r w:rsidRPr="006F1FC3">
        <w:rPr>
          <w:rFonts w:ascii="Times New Roman" w:hAnsi="Times New Roman"/>
        </w:rPr>
        <w:t>m</w:t>
      </w:r>
      <w:r>
        <w:rPr>
          <w:rFonts w:ascii="Times New Roman" w:hAnsi="Times New Roman"/>
        </w:rPr>
        <w:t>igrant</w:t>
      </w:r>
      <w:proofErr w:type="spellEnd"/>
      <w:r w:rsidRPr="006F1FC3">
        <w:rPr>
          <w:rFonts w:ascii="Times New Roman" w:hAnsi="Times New Roman"/>
        </w:rPr>
        <w:t xml:space="preserve">) behaved differently for 3 socio economic groups in the 10 year period. While the disparity fell for </w:t>
      </w:r>
      <w:r w:rsidRPr="006F1FC3">
        <w:rPr>
          <w:rFonts w:ascii="Times New Roman" w:hAnsi="Times New Roman"/>
          <w:color w:val="000000"/>
        </w:rPr>
        <w:lastRenderedPageBreak/>
        <w:t>GENERAL, it increased for OBC and SC/ST. But the improvement in SOLI for migrant/non migrant in the 10 year period is almost the same for all the 3 socio economic groups.</w:t>
      </w:r>
    </w:p>
    <w:p w:rsidR="00D430C4" w:rsidRPr="00FD3AB6" w:rsidRDefault="00D430C4" w:rsidP="00D430C4">
      <w:pPr>
        <w:spacing w:line="360" w:lineRule="auto"/>
        <w:rPr>
          <w:rFonts w:ascii="Times New Roman" w:hAnsi="Times New Roman"/>
        </w:rPr>
      </w:pPr>
      <w:r w:rsidRPr="00FD3AB6">
        <w:rPr>
          <w:rFonts w:ascii="Times New Roman" w:hAnsi="Times New Roman"/>
        </w:rPr>
        <w:t xml:space="preserve">SOLI scores and sex of head of households </w:t>
      </w:r>
    </w:p>
    <w:p w:rsidR="00FD3AB6" w:rsidRPr="00FD3AB6" w:rsidRDefault="00FD3AB6" w:rsidP="00FD3AB6">
      <w:pPr>
        <w:spacing w:after="0" w:line="360" w:lineRule="auto"/>
        <w:jc w:val="center"/>
        <w:rPr>
          <w:rFonts w:ascii="Times New Roman" w:hAnsi="Times New Roman"/>
          <w:sz w:val="20"/>
          <w:szCs w:val="20"/>
        </w:rPr>
      </w:pPr>
      <w:r w:rsidRPr="00FD3AB6">
        <w:rPr>
          <w:rFonts w:ascii="Times New Roman" w:hAnsi="Times New Roman"/>
          <w:sz w:val="20"/>
          <w:szCs w:val="20"/>
        </w:rPr>
        <w:t>Table 4</w:t>
      </w:r>
    </w:p>
    <w:p w:rsidR="00D430C4" w:rsidRPr="00FD3AB6" w:rsidRDefault="00D430C4" w:rsidP="00FD3AB6">
      <w:pPr>
        <w:spacing w:after="0" w:line="360" w:lineRule="auto"/>
        <w:jc w:val="center"/>
        <w:rPr>
          <w:rFonts w:ascii="Times New Roman" w:hAnsi="Times New Roman"/>
          <w:sz w:val="20"/>
          <w:szCs w:val="20"/>
        </w:rPr>
      </w:pPr>
      <w:r w:rsidRPr="00FD3AB6">
        <w:rPr>
          <w:rFonts w:ascii="Times New Roman" w:hAnsi="Times New Roman"/>
          <w:sz w:val="20"/>
          <w:szCs w:val="20"/>
        </w:rPr>
        <w:t>SOLI scores by sex of head of households (1998, 2008)</w:t>
      </w:r>
    </w:p>
    <w:tbl>
      <w:tblPr>
        <w:tblW w:w="3483" w:type="dxa"/>
        <w:jc w:val="center"/>
        <w:tblInd w:w="53" w:type="dxa"/>
        <w:tblLook w:val="0000" w:firstRow="0" w:lastRow="0" w:firstColumn="0" w:lastColumn="0" w:noHBand="0" w:noVBand="0"/>
      </w:tblPr>
      <w:tblGrid>
        <w:gridCol w:w="1431"/>
        <w:gridCol w:w="961"/>
        <w:gridCol w:w="1091"/>
      </w:tblGrid>
      <w:tr w:rsidR="00D430C4" w:rsidRPr="00FD3AB6" w:rsidTr="00FD3AB6">
        <w:trPr>
          <w:trHeight w:val="294"/>
          <w:jc w:val="center"/>
        </w:trPr>
        <w:tc>
          <w:tcPr>
            <w:tcW w:w="143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Sex of head of household</w:t>
            </w:r>
          </w:p>
        </w:tc>
        <w:tc>
          <w:tcPr>
            <w:tcW w:w="96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Migrant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FD3AB6" w:rsidRDefault="00FD3AB6" w:rsidP="00FD3AB6">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Non M</w:t>
            </w:r>
            <w:r w:rsidR="00D430C4" w:rsidRPr="00FD3AB6">
              <w:rPr>
                <w:rFonts w:ascii="Times New Roman" w:hAnsi="Times New Roman"/>
                <w:color w:val="000000"/>
                <w:sz w:val="20"/>
                <w:szCs w:val="20"/>
              </w:rPr>
              <w:t>igrant</w:t>
            </w:r>
          </w:p>
        </w:tc>
      </w:tr>
      <w:tr w:rsidR="00D430C4" w:rsidRPr="00FD3AB6" w:rsidTr="00FD3AB6">
        <w:trPr>
          <w:trHeight w:val="58"/>
          <w:jc w:val="center"/>
        </w:trPr>
        <w:tc>
          <w:tcPr>
            <w:tcW w:w="143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rPr>
                <w:rFonts w:ascii="Times New Roman" w:hAnsi="Times New Roman"/>
                <w:color w:val="000000"/>
                <w:sz w:val="20"/>
                <w:szCs w:val="20"/>
              </w:rPr>
            </w:pPr>
            <w:r w:rsidRPr="00FD3AB6">
              <w:rPr>
                <w:rFonts w:ascii="Times New Roman" w:hAnsi="Times New Roman"/>
                <w:color w:val="000000"/>
                <w:sz w:val="20"/>
                <w:szCs w:val="20"/>
              </w:rPr>
              <w:t>Male 2008</w:t>
            </w:r>
          </w:p>
        </w:tc>
        <w:tc>
          <w:tcPr>
            <w:tcW w:w="96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51.70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41.95</w:t>
            </w:r>
          </w:p>
        </w:tc>
      </w:tr>
      <w:tr w:rsidR="00D430C4" w:rsidRPr="00FD3AB6" w:rsidTr="00FD3AB6">
        <w:trPr>
          <w:trHeight w:val="58"/>
          <w:jc w:val="center"/>
        </w:trPr>
        <w:tc>
          <w:tcPr>
            <w:tcW w:w="143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rPr>
                <w:rFonts w:ascii="Times New Roman" w:hAnsi="Times New Roman"/>
                <w:color w:val="000000"/>
                <w:sz w:val="20"/>
                <w:szCs w:val="20"/>
              </w:rPr>
            </w:pPr>
            <w:r w:rsidRPr="00FD3AB6">
              <w:rPr>
                <w:rFonts w:ascii="Times New Roman" w:hAnsi="Times New Roman"/>
                <w:color w:val="000000"/>
                <w:sz w:val="20"/>
                <w:szCs w:val="20"/>
              </w:rPr>
              <w:t>Female 2008</w:t>
            </w:r>
          </w:p>
        </w:tc>
        <w:tc>
          <w:tcPr>
            <w:tcW w:w="96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50.33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34.39</w:t>
            </w:r>
          </w:p>
        </w:tc>
      </w:tr>
      <w:tr w:rsidR="00D430C4" w:rsidRPr="00FD3AB6" w:rsidTr="00FD3AB6">
        <w:trPr>
          <w:trHeight w:val="58"/>
          <w:jc w:val="center"/>
        </w:trPr>
        <w:tc>
          <w:tcPr>
            <w:tcW w:w="143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rPr>
                <w:rFonts w:ascii="Times New Roman" w:hAnsi="Times New Roman"/>
                <w:color w:val="000000"/>
                <w:sz w:val="20"/>
                <w:szCs w:val="20"/>
              </w:rPr>
            </w:pPr>
            <w:r w:rsidRPr="00FD3AB6">
              <w:rPr>
                <w:rFonts w:ascii="Times New Roman" w:hAnsi="Times New Roman"/>
                <w:color w:val="000000"/>
                <w:sz w:val="20"/>
                <w:szCs w:val="20"/>
              </w:rPr>
              <w:t>Male 1998</w:t>
            </w:r>
          </w:p>
        </w:tc>
        <w:tc>
          <w:tcPr>
            <w:tcW w:w="96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34.28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23.84</w:t>
            </w:r>
          </w:p>
        </w:tc>
      </w:tr>
      <w:tr w:rsidR="00D430C4" w:rsidRPr="00FD3AB6" w:rsidTr="00FD3AB6">
        <w:trPr>
          <w:trHeight w:val="58"/>
          <w:jc w:val="center"/>
        </w:trPr>
        <w:tc>
          <w:tcPr>
            <w:tcW w:w="143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rPr>
                <w:rFonts w:ascii="Times New Roman" w:hAnsi="Times New Roman"/>
                <w:color w:val="000000"/>
                <w:sz w:val="20"/>
                <w:szCs w:val="20"/>
              </w:rPr>
            </w:pPr>
            <w:r w:rsidRPr="00FD3AB6">
              <w:rPr>
                <w:rFonts w:ascii="Times New Roman" w:hAnsi="Times New Roman"/>
                <w:color w:val="000000"/>
                <w:sz w:val="20"/>
                <w:szCs w:val="20"/>
              </w:rPr>
              <w:t>Female 1998</w:t>
            </w:r>
          </w:p>
        </w:tc>
        <w:tc>
          <w:tcPr>
            <w:tcW w:w="961" w:type="dxa"/>
            <w:tcBorders>
              <w:top w:val="single" w:sz="4" w:space="0" w:color="000000"/>
              <w:left w:val="single" w:sz="4" w:space="0" w:color="000000"/>
              <w:bottom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33.63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0C4" w:rsidRPr="00FD3AB6" w:rsidRDefault="00D430C4" w:rsidP="00FD3AB6">
            <w:pPr>
              <w:snapToGrid w:val="0"/>
              <w:spacing w:after="0" w:line="240" w:lineRule="auto"/>
              <w:jc w:val="center"/>
              <w:rPr>
                <w:rFonts w:ascii="Times New Roman" w:hAnsi="Times New Roman"/>
                <w:color w:val="000000"/>
                <w:sz w:val="20"/>
                <w:szCs w:val="20"/>
              </w:rPr>
            </w:pPr>
            <w:r w:rsidRPr="00FD3AB6">
              <w:rPr>
                <w:rFonts w:ascii="Times New Roman" w:hAnsi="Times New Roman"/>
                <w:color w:val="000000"/>
                <w:sz w:val="20"/>
                <w:szCs w:val="20"/>
              </w:rPr>
              <w:t>19.90</w:t>
            </w:r>
          </w:p>
        </w:tc>
      </w:tr>
    </w:tbl>
    <w:p w:rsidR="00FD3AB6" w:rsidRDefault="00FD3AB6" w:rsidP="00FD3AB6">
      <w:pPr>
        <w:spacing w:after="120" w:line="360" w:lineRule="auto"/>
        <w:jc w:val="both"/>
      </w:pPr>
    </w:p>
    <w:p w:rsidR="00D430C4" w:rsidRDefault="00D430C4" w:rsidP="00FD3AB6">
      <w:pPr>
        <w:spacing w:after="120" w:line="432" w:lineRule="auto"/>
        <w:jc w:val="both"/>
        <w:rPr>
          <w:rFonts w:ascii="Times New Roman" w:hAnsi="Times New Roman"/>
        </w:rPr>
      </w:pPr>
      <w:r>
        <w:rPr>
          <w:rFonts w:ascii="Times New Roman" w:hAnsi="Times New Roman"/>
        </w:rPr>
        <w:t>Table 4</w:t>
      </w:r>
      <w:r w:rsidRPr="006F1FC3">
        <w:rPr>
          <w:rFonts w:ascii="Times New Roman" w:hAnsi="Times New Roman"/>
        </w:rPr>
        <w:t xml:space="preserve"> shows the mean SOLI score of male and female headed households in 1998 and 2008 (Represented in column 1 as Male/Female 1998 and 2008).</w:t>
      </w:r>
      <w:r>
        <w:rPr>
          <w:rFonts w:ascii="Times New Roman" w:hAnsi="Times New Roman"/>
        </w:rPr>
        <w:t xml:space="preserve"> </w:t>
      </w:r>
      <w:r w:rsidRPr="006F1FC3">
        <w:rPr>
          <w:rFonts w:ascii="Times New Roman" w:hAnsi="Times New Roman"/>
        </w:rPr>
        <w:t>Male headed households have higher SOLI score than female headed households. But this difference is reduced by migration in both 1998 and 2008.Gap between migrant/non</w:t>
      </w:r>
      <w:r>
        <w:rPr>
          <w:rFonts w:ascii="Times New Roman" w:hAnsi="Times New Roman"/>
        </w:rPr>
        <w:t xml:space="preserve"> </w:t>
      </w:r>
      <w:r w:rsidRPr="006F1FC3">
        <w:rPr>
          <w:rFonts w:ascii="Times New Roman" w:hAnsi="Times New Roman"/>
        </w:rPr>
        <w:t>migrant is higher for female headed households in both 1998 and 2008.Thus migration plays some role in reducing gender based inequality in household asset ownership.</w:t>
      </w:r>
    </w:p>
    <w:p w:rsidR="00FD3AB6" w:rsidRPr="00BD3D13" w:rsidRDefault="00FD3AB6" w:rsidP="00FD3AB6">
      <w:pPr>
        <w:spacing w:after="120" w:line="432" w:lineRule="auto"/>
        <w:jc w:val="both"/>
        <w:rPr>
          <w:rFonts w:ascii="Times New Roman" w:hAnsi="Times New Roman"/>
        </w:rPr>
      </w:pPr>
    </w:p>
    <w:p w:rsidR="00FD3AB6" w:rsidRDefault="00FD3AB6" w:rsidP="00FD3AB6">
      <w:pPr>
        <w:spacing w:after="120" w:line="432" w:lineRule="auto"/>
        <w:jc w:val="both"/>
        <w:rPr>
          <w:rFonts w:ascii="Times New Roman" w:hAnsi="Times New Roman"/>
          <w:b/>
        </w:rPr>
      </w:pPr>
    </w:p>
    <w:p w:rsidR="00D430C4" w:rsidRPr="00FD3AB6" w:rsidRDefault="00D430C4" w:rsidP="00FD3AB6">
      <w:pPr>
        <w:spacing w:after="120" w:line="432" w:lineRule="auto"/>
        <w:jc w:val="both"/>
        <w:rPr>
          <w:rFonts w:ascii="Times New Roman" w:hAnsi="Times New Roman"/>
          <w:b/>
        </w:rPr>
      </w:pPr>
      <w:proofErr w:type="gramStart"/>
      <w:r w:rsidRPr="00FD3AB6">
        <w:rPr>
          <w:rFonts w:ascii="Times New Roman" w:hAnsi="Times New Roman"/>
          <w:b/>
        </w:rPr>
        <w:t>Panel regression analysis.</w:t>
      </w:r>
      <w:proofErr w:type="gramEnd"/>
    </w:p>
    <w:p w:rsidR="00D430C4" w:rsidRDefault="00D430C4" w:rsidP="00FD3AB6">
      <w:pPr>
        <w:spacing w:after="120" w:line="432" w:lineRule="auto"/>
        <w:jc w:val="both"/>
        <w:rPr>
          <w:rFonts w:ascii="Times New Roman" w:hAnsi="Times New Roman"/>
        </w:rPr>
      </w:pPr>
      <w:r w:rsidRPr="006F1FC3">
        <w:rPr>
          <w:rFonts w:ascii="Times New Roman" w:hAnsi="Times New Roman"/>
        </w:rPr>
        <w:lastRenderedPageBreak/>
        <w:t xml:space="preserve">Panel regression model has Asset based standard of living indicator (SOLI) as the dependent variable .This is represented as SOLI in the model .Migration is represented by a ratio of number of migrants to total household size. This will be referred to as migration intensity and will be represented as MIGINTEN. Among the factors other than migration which determines SOLI, Caste of household members is represented by a dummy which is Zero for </w:t>
      </w:r>
      <w:proofErr w:type="spellStart"/>
      <w:r w:rsidRPr="006F1FC3">
        <w:rPr>
          <w:rFonts w:ascii="Times New Roman" w:hAnsi="Times New Roman"/>
        </w:rPr>
        <w:t>non SC</w:t>
      </w:r>
      <w:proofErr w:type="spellEnd"/>
      <w:r w:rsidRPr="006F1FC3">
        <w:rPr>
          <w:rFonts w:ascii="Times New Roman" w:hAnsi="Times New Roman"/>
        </w:rPr>
        <w:t>/ST households  and One for SC/ST households .This dummy will be represented as CASTE .Sex of head of household is also represented by a dummy ; if head of household is Male  it is put as Zero and if Female it is put as one .This will be represented as HDSX .Another dummy is put for the year, say 1998 or 2008 .This will be represented as YD .The number of people who are employed but not migrants will be represented as NMEMPL .As mentioned above an interaction term of Cast (dummy) and migration is also included in the model .This will be represented as INTER. The results of panel regression are shown in Table 5.</w:t>
      </w:r>
    </w:p>
    <w:p w:rsidR="00FD3AB6" w:rsidRDefault="00FD3AB6" w:rsidP="00FD3AB6">
      <w:pPr>
        <w:spacing w:after="120" w:line="432" w:lineRule="auto"/>
        <w:jc w:val="both"/>
        <w:rPr>
          <w:rFonts w:ascii="Times New Roman" w:hAnsi="Times New Roman"/>
        </w:rPr>
      </w:pPr>
    </w:p>
    <w:p w:rsidR="00A9555E" w:rsidRDefault="00A9555E" w:rsidP="00FD3AB6">
      <w:pPr>
        <w:spacing w:after="120" w:line="240" w:lineRule="auto"/>
        <w:jc w:val="center"/>
        <w:rPr>
          <w:rFonts w:ascii="Times New Roman" w:hAnsi="Times New Roman"/>
        </w:rPr>
      </w:pPr>
    </w:p>
    <w:p w:rsidR="00A9555E" w:rsidRDefault="00A9555E" w:rsidP="00FD3AB6">
      <w:pPr>
        <w:spacing w:after="120" w:line="240" w:lineRule="auto"/>
        <w:jc w:val="center"/>
        <w:rPr>
          <w:rFonts w:ascii="Times New Roman" w:hAnsi="Times New Roman"/>
        </w:rPr>
      </w:pPr>
    </w:p>
    <w:p w:rsidR="00FD3AB6" w:rsidRPr="00FD3AB6" w:rsidRDefault="00D430C4" w:rsidP="00FD3AB6">
      <w:pPr>
        <w:spacing w:after="120" w:line="240" w:lineRule="auto"/>
        <w:jc w:val="center"/>
        <w:rPr>
          <w:rFonts w:ascii="Times New Roman" w:hAnsi="Times New Roman" w:cs="Times New Roman"/>
          <w:sz w:val="20"/>
          <w:szCs w:val="20"/>
        </w:rPr>
      </w:pPr>
      <w:r w:rsidRPr="00FD3AB6">
        <w:rPr>
          <w:rFonts w:ascii="Times New Roman" w:hAnsi="Times New Roman" w:cs="Times New Roman"/>
          <w:sz w:val="20"/>
          <w:szCs w:val="20"/>
        </w:rPr>
        <w:t>Table 5</w:t>
      </w:r>
    </w:p>
    <w:p w:rsidR="00D430C4" w:rsidRPr="00FD3AB6" w:rsidRDefault="00D430C4" w:rsidP="00FD3AB6">
      <w:pPr>
        <w:spacing w:after="120" w:line="240" w:lineRule="auto"/>
        <w:jc w:val="center"/>
        <w:rPr>
          <w:rFonts w:ascii="Times New Roman" w:hAnsi="Times New Roman" w:cs="Times New Roman"/>
          <w:sz w:val="20"/>
          <w:szCs w:val="20"/>
        </w:rPr>
      </w:pPr>
      <w:r w:rsidRPr="00FD3AB6">
        <w:rPr>
          <w:rFonts w:ascii="Times New Roman" w:hAnsi="Times New Roman" w:cs="Times New Roman"/>
          <w:sz w:val="20"/>
          <w:szCs w:val="20"/>
        </w:rPr>
        <w:t>Factors that influence Asset based standard of living indicator</w:t>
      </w:r>
    </w:p>
    <w:tbl>
      <w:tblPr>
        <w:tblW w:w="74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1344"/>
        <w:gridCol w:w="1388"/>
        <w:gridCol w:w="1498"/>
        <w:gridCol w:w="675"/>
        <w:gridCol w:w="766"/>
      </w:tblGrid>
      <w:tr w:rsidR="00D430C4" w:rsidRPr="00FD3AB6" w:rsidTr="00A9555E">
        <w:trPr>
          <w:trHeight w:val="330"/>
        </w:trPr>
        <w:tc>
          <w:tcPr>
            <w:tcW w:w="7404" w:type="dxa"/>
            <w:gridSpan w:val="6"/>
            <w:vAlign w:val="bottom"/>
          </w:tcPr>
          <w:p w:rsidR="00D430C4" w:rsidRPr="00FD3AB6" w:rsidRDefault="00D430C4" w:rsidP="00A9555E">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Dependent variable : Asset based standard of living indicator (SOLI)</w:t>
            </w:r>
          </w:p>
        </w:tc>
      </w:tr>
      <w:tr w:rsidR="00D430C4" w:rsidRPr="00FD3AB6" w:rsidTr="00A9555E">
        <w:trPr>
          <w:trHeight w:val="58"/>
        </w:trPr>
        <w:tc>
          <w:tcPr>
            <w:tcW w:w="1733" w:type="dxa"/>
            <w:hideMark/>
          </w:tcPr>
          <w:p w:rsidR="00D430C4" w:rsidRPr="00FD3AB6" w:rsidRDefault="00D430C4" w:rsidP="00A9555E">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Model</w:t>
            </w:r>
          </w:p>
        </w:tc>
        <w:tc>
          <w:tcPr>
            <w:tcW w:w="1344" w:type="dxa"/>
            <w:hideMark/>
          </w:tcPr>
          <w:p w:rsidR="00D430C4" w:rsidRPr="00FD3AB6" w:rsidRDefault="00D430C4" w:rsidP="00A9555E">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Pooled OLS</w:t>
            </w:r>
          </w:p>
        </w:tc>
        <w:tc>
          <w:tcPr>
            <w:tcW w:w="1388" w:type="dxa"/>
            <w:hideMark/>
          </w:tcPr>
          <w:p w:rsidR="00D430C4" w:rsidRPr="00FD3AB6" w:rsidRDefault="00D430C4" w:rsidP="00A9555E">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Fixed effects</w:t>
            </w:r>
          </w:p>
        </w:tc>
        <w:tc>
          <w:tcPr>
            <w:tcW w:w="1498" w:type="dxa"/>
            <w:hideMark/>
          </w:tcPr>
          <w:p w:rsidR="00D430C4" w:rsidRPr="00FD3AB6" w:rsidRDefault="00D430C4" w:rsidP="00A9555E">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Random effects</w:t>
            </w:r>
          </w:p>
        </w:tc>
        <w:tc>
          <w:tcPr>
            <w:tcW w:w="1441" w:type="dxa"/>
            <w:gridSpan w:val="2"/>
            <w:hideMark/>
          </w:tcPr>
          <w:p w:rsidR="00D430C4" w:rsidRPr="00FD3AB6" w:rsidRDefault="00D430C4" w:rsidP="00A9555E">
            <w:pPr>
              <w:snapToGrid w:val="0"/>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Fixed effect</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proofErr w:type="spellStart"/>
            <w:r w:rsidRPr="00FD3AB6">
              <w:rPr>
                <w:rFonts w:ascii="Times New Roman" w:hAnsi="Times New Roman" w:cs="Times New Roman"/>
                <w:color w:val="000000"/>
                <w:sz w:val="20"/>
                <w:szCs w:val="20"/>
              </w:rPr>
              <w:lastRenderedPageBreak/>
              <w:t>Regressors</w:t>
            </w:r>
            <w:proofErr w:type="spellEnd"/>
          </w:p>
        </w:tc>
        <w:tc>
          <w:tcPr>
            <w:tcW w:w="1344" w:type="dxa"/>
            <w:vMerge w:val="restart"/>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Coefficient</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(t value)</w:t>
            </w:r>
          </w:p>
          <w:p w:rsidR="00D430C4" w:rsidRPr="00FD3AB6" w:rsidRDefault="00D430C4" w:rsidP="00FD3AB6">
            <w:pPr>
              <w:suppressAutoHyphens/>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 value)</w:t>
            </w:r>
          </w:p>
        </w:tc>
        <w:tc>
          <w:tcPr>
            <w:tcW w:w="1388" w:type="dxa"/>
            <w:vMerge w:val="restart"/>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Coefficient</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(t value)</w:t>
            </w:r>
          </w:p>
          <w:p w:rsidR="00D430C4" w:rsidRPr="00FD3AB6" w:rsidRDefault="00D430C4" w:rsidP="00FD3AB6">
            <w:pPr>
              <w:suppressAutoHyphens/>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 value)</w:t>
            </w:r>
          </w:p>
        </w:tc>
        <w:tc>
          <w:tcPr>
            <w:tcW w:w="1498" w:type="dxa"/>
            <w:vMerge w:val="restart"/>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Coefficient</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(z value)</w:t>
            </w:r>
          </w:p>
          <w:p w:rsidR="00D430C4" w:rsidRPr="00FD3AB6" w:rsidRDefault="00D430C4" w:rsidP="00FD3AB6">
            <w:pPr>
              <w:suppressAutoHyphens/>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 value)</w:t>
            </w:r>
          </w:p>
        </w:tc>
        <w:tc>
          <w:tcPr>
            <w:tcW w:w="1441" w:type="dxa"/>
            <w:gridSpan w:val="2"/>
            <w:vMerge w:val="restart"/>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Coefficient</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(t value)</w:t>
            </w:r>
          </w:p>
          <w:p w:rsidR="00D430C4" w:rsidRPr="00FD3AB6" w:rsidRDefault="00D430C4" w:rsidP="00FD3AB6">
            <w:pPr>
              <w:suppressAutoHyphens/>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 value)</w:t>
            </w:r>
          </w:p>
        </w:tc>
      </w:tr>
      <w:tr w:rsidR="00D430C4" w:rsidRPr="00FD3AB6" w:rsidTr="00A9555E">
        <w:trPr>
          <w:trHeight w:val="66"/>
        </w:trPr>
        <w:tc>
          <w:tcPr>
            <w:tcW w:w="1733" w:type="dxa"/>
            <w:vAlign w:val="bottom"/>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p>
        </w:tc>
        <w:tc>
          <w:tcPr>
            <w:tcW w:w="1344" w:type="dxa"/>
            <w:vMerge/>
            <w:vAlign w:val="center"/>
            <w:hideMark/>
          </w:tcPr>
          <w:p w:rsidR="00D430C4" w:rsidRPr="00FD3AB6" w:rsidRDefault="00D430C4" w:rsidP="00FD3AB6">
            <w:pPr>
              <w:spacing w:after="0" w:line="240" w:lineRule="auto"/>
              <w:rPr>
                <w:rFonts w:ascii="Times New Roman" w:hAnsi="Times New Roman" w:cs="Times New Roman"/>
                <w:b/>
                <w:color w:val="000000"/>
                <w:sz w:val="20"/>
                <w:szCs w:val="20"/>
                <w:lang w:eastAsia="ar-SA"/>
              </w:rPr>
            </w:pPr>
          </w:p>
        </w:tc>
        <w:tc>
          <w:tcPr>
            <w:tcW w:w="1388" w:type="dxa"/>
            <w:vMerge/>
            <w:vAlign w:val="center"/>
            <w:hideMark/>
          </w:tcPr>
          <w:p w:rsidR="00D430C4" w:rsidRPr="00FD3AB6" w:rsidRDefault="00D430C4" w:rsidP="00FD3AB6">
            <w:pPr>
              <w:spacing w:after="0" w:line="240" w:lineRule="auto"/>
              <w:rPr>
                <w:rFonts w:ascii="Times New Roman" w:hAnsi="Times New Roman" w:cs="Times New Roman"/>
                <w:b/>
                <w:color w:val="000000"/>
                <w:sz w:val="20"/>
                <w:szCs w:val="20"/>
                <w:lang w:eastAsia="ar-SA"/>
              </w:rPr>
            </w:pPr>
          </w:p>
        </w:tc>
        <w:tc>
          <w:tcPr>
            <w:tcW w:w="1498" w:type="dxa"/>
            <w:vMerge/>
            <w:vAlign w:val="center"/>
            <w:hideMark/>
          </w:tcPr>
          <w:p w:rsidR="00D430C4" w:rsidRPr="00FD3AB6" w:rsidRDefault="00D430C4" w:rsidP="00FD3AB6">
            <w:pPr>
              <w:spacing w:after="0" w:line="240" w:lineRule="auto"/>
              <w:rPr>
                <w:rFonts w:ascii="Times New Roman" w:hAnsi="Times New Roman" w:cs="Times New Roman"/>
                <w:b/>
                <w:color w:val="000000"/>
                <w:sz w:val="20"/>
                <w:szCs w:val="20"/>
                <w:lang w:eastAsia="ar-SA"/>
              </w:rPr>
            </w:pPr>
          </w:p>
        </w:tc>
        <w:tc>
          <w:tcPr>
            <w:tcW w:w="1441" w:type="dxa"/>
            <w:gridSpan w:val="2"/>
            <w:vMerge/>
            <w:vAlign w:val="center"/>
            <w:hideMark/>
          </w:tcPr>
          <w:p w:rsidR="00D430C4" w:rsidRPr="00FD3AB6" w:rsidRDefault="00D430C4" w:rsidP="00FD3AB6">
            <w:pPr>
              <w:spacing w:after="0" w:line="240" w:lineRule="auto"/>
              <w:rPr>
                <w:rFonts w:ascii="Times New Roman" w:hAnsi="Times New Roman" w:cs="Times New Roman"/>
                <w:b/>
                <w:color w:val="000000"/>
                <w:sz w:val="20"/>
                <w:szCs w:val="20"/>
                <w:lang w:eastAsia="ar-SA"/>
              </w:rPr>
            </w:pP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Constant</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31.386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(35.1)*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30.065</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(31.01)*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31.028</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(35.05)*</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30.065</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(30.7)*</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r>
      <w:tr w:rsidR="00D430C4" w:rsidRPr="00FD3AB6" w:rsidTr="00A9555E">
        <w:trPr>
          <w:trHeight w:val="620"/>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MIGINTEN</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6.221</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(6.39)*</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2.962</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(2.6)*</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5.041</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(5.5)*</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2.962</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(3.26)*</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(0.001)</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NMEMPL</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-1.22</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(-0.9)</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0.37</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2.285</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(1.29)</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(0.198)</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-1.406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(-0.11)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(0.916)</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2.286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(1.25)</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(0.211)</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CASTE</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-8.227</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(-5.58)*</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-5.569</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(-2.42)*</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(0.016)</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-7.605</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(-5.02)*</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-5.57</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(-2.01)*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(0.045)</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HDSX</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-5.063</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(-5.1)*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-4.416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(-3.24)*</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(0.001)</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-4.888</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(-4.96)*</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-4.416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(-3.18)*</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(0.002)</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YD</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13.705</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(15.27)*</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13.867</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(19.74)*</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9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13.781</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(19.72)*</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c>
          <w:tcPr>
            <w:tcW w:w="1441"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13.867</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(19.77)*</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(0.000)</w:t>
            </w:r>
          </w:p>
        </w:tc>
      </w:tr>
      <w:tr w:rsidR="00D430C4" w:rsidRPr="00FD3AB6" w:rsidTr="00A9555E">
        <w:trPr>
          <w:trHeight w:val="529"/>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INTER</w:t>
            </w:r>
          </w:p>
        </w:tc>
        <w:tc>
          <w:tcPr>
            <w:tcW w:w="1344"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-1.056</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(-0.51)</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p>
        </w:tc>
        <w:tc>
          <w:tcPr>
            <w:tcW w:w="1388"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-2.043</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(-0.86)</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p>
        </w:tc>
        <w:tc>
          <w:tcPr>
            <w:tcW w:w="1498"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-1.409</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(-0.73)</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p>
        </w:tc>
        <w:tc>
          <w:tcPr>
            <w:tcW w:w="1441" w:type="dxa"/>
            <w:gridSpan w:val="2"/>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-2.043</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(-0.83)</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p>
        </w:tc>
      </w:tr>
      <w:tr w:rsidR="00D430C4" w:rsidRPr="00FD3AB6" w:rsidTr="00A9555E">
        <w:trPr>
          <w:trHeight w:val="58"/>
        </w:trPr>
        <w:tc>
          <w:tcPr>
            <w:tcW w:w="1733" w:type="dxa"/>
            <w:vMerge w:val="restart"/>
            <w:vAlign w:val="bottom"/>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R square</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Within</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Between</w:t>
            </w:r>
          </w:p>
          <w:p w:rsidR="00D430C4" w:rsidRPr="00FD3AB6" w:rsidRDefault="00D430C4" w:rsidP="00FD3AB6">
            <w:pPr>
              <w:spacing w:after="0" w:line="240" w:lineRule="auto"/>
              <w:rPr>
                <w:rFonts w:ascii="Times New Roman" w:hAnsi="Times New Roman" w:cs="Times New Roman"/>
                <w:color w:val="000000"/>
                <w:sz w:val="20"/>
                <w:szCs w:val="20"/>
              </w:rPr>
            </w:pPr>
            <w:r w:rsidRPr="00FD3AB6">
              <w:rPr>
                <w:rFonts w:ascii="Times New Roman" w:hAnsi="Times New Roman" w:cs="Times New Roman"/>
                <w:color w:val="000000"/>
                <w:sz w:val="20"/>
                <w:szCs w:val="20"/>
              </w:rPr>
              <w:t>Overall</w:t>
            </w:r>
          </w:p>
          <w:p w:rsidR="00D430C4" w:rsidRPr="00FD3AB6" w:rsidRDefault="00D430C4" w:rsidP="00FD3AB6">
            <w:pPr>
              <w:suppressAutoHyphens/>
              <w:spacing w:after="0" w:line="240" w:lineRule="auto"/>
              <w:rPr>
                <w:rFonts w:ascii="Times New Roman" w:hAnsi="Times New Roman" w:cs="Times New Roman"/>
                <w:color w:val="000000"/>
                <w:sz w:val="20"/>
                <w:szCs w:val="20"/>
                <w:lang w:eastAsia="ar-SA"/>
              </w:rPr>
            </w:pPr>
          </w:p>
        </w:tc>
        <w:tc>
          <w:tcPr>
            <w:tcW w:w="1344" w:type="dxa"/>
            <w:vMerge w:val="restart"/>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0.158</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w:t>
            </w:r>
          </w:p>
        </w:tc>
        <w:tc>
          <w:tcPr>
            <w:tcW w:w="4327" w:type="dxa"/>
            <w:gridSpan w:val="4"/>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r>
      <w:tr w:rsidR="00D430C4" w:rsidRPr="00FD3AB6" w:rsidTr="00A9555E">
        <w:trPr>
          <w:trHeight w:val="987"/>
        </w:trPr>
        <w:tc>
          <w:tcPr>
            <w:tcW w:w="1733" w:type="dxa"/>
            <w:vMerge/>
            <w:vAlign w:val="center"/>
            <w:hideMark/>
          </w:tcPr>
          <w:p w:rsidR="00D430C4" w:rsidRPr="00FD3AB6" w:rsidRDefault="00D430C4" w:rsidP="00FD3AB6">
            <w:pPr>
              <w:spacing w:after="0" w:line="240" w:lineRule="auto"/>
              <w:rPr>
                <w:rFonts w:ascii="Times New Roman" w:hAnsi="Times New Roman" w:cs="Times New Roman"/>
                <w:color w:val="000000"/>
                <w:sz w:val="20"/>
                <w:szCs w:val="20"/>
                <w:lang w:eastAsia="ar-SA"/>
              </w:rPr>
            </w:pPr>
          </w:p>
        </w:tc>
        <w:tc>
          <w:tcPr>
            <w:tcW w:w="1344" w:type="dxa"/>
            <w:vMerge/>
            <w:vAlign w:val="center"/>
            <w:hideMark/>
          </w:tcPr>
          <w:p w:rsidR="00D430C4" w:rsidRPr="00FD3AB6" w:rsidRDefault="00D430C4" w:rsidP="00FD3AB6">
            <w:pPr>
              <w:spacing w:after="0" w:line="240" w:lineRule="auto"/>
              <w:jc w:val="center"/>
              <w:rPr>
                <w:rFonts w:ascii="Times New Roman" w:hAnsi="Times New Roman" w:cs="Times New Roman"/>
                <w:color w:val="000000"/>
                <w:sz w:val="20"/>
                <w:szCs w:val="20"/>
                <w:lang w:eastAsia="ar-SA"/>
              </w:rPr>
            </w:pP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0.322</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0.053</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0.149</w:t>
            </w:r>
          </w:p>
        </w:tc>
        <w:tc>
          <w:tcPr>
            <w:tcW w:w="2173"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0.317</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0.073</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0.16</w:t>
            </w:r>
          </w:p>
        </w:tc>
        <w:tc>
          <w:tcPr>
            <w:tcW w:w="766"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0.322</w:t>
            </w:r>
          </w:p>
          <w:p w:rsidR="00D430C4" w:rsidRPr="00FD3AB6" w:rsidRDefault="00D430C4" w:rsidP="00FD3AB6">
            <w:pPr>
              <w:spacing w:after="0" w:line="240" w:lineRule="auto"/>
              <w:jc w:val="center"/>
              <w:rPr>
                <w:rFonts w:ascii="Times New Roman" w:hAnsi="Times New Roman" w:cs="Times New Roman"/>
                <w:color w:val="000000"/>
                <w:sz w:val="20"/>
                <w:szCs w:val="20"/>
              </w:rPr>
            </w:pPr>
            <w:r w:rsidRPr="00FD3AB6">
              <w:rPr>
                <w:rFonts w:ascii="Times New Roman" w:hAnsi="Times New Roman" w:cs="Times New Roman"/>
                <w:color w:val="000000"/>
                <w:sz w:val="20"/>
                <w:szCs w:val="20"/>
              </w:rPr>
              <w:t>0.053</w:t>
            </w:r>
          </w:p>
          <w:p w:rsidR="00D430C4" w:rsidRPr="00FD3AB6" w:rsidRDefault="00D430C4" w:rsidP="00FD3AB6">
            <w:pPr>
              <w:suppressAutoHyphens/>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0.149</w:t>
            </w:r>
          </w:p>
        </w:tc>
      </w:tr>
      <w:tr w:rsidR="00D430C4" w:rsidRPr="00FD3AB6" w:rsidTr="00A9555E">
        <w:trPr>
          <w:trHeight w:val="330"/>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 xml:space="preserve">F statistic </w:t>
            </w:r>
          </w:p>
        </w:tc>
        <w:tc>
          <w:tcPr>
            <w:tcW w:w="1344"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56.37</w:t>
            </w: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69.538*</w:t>
            </w:r>
          </w:p>
        </w:tc>
        <w:tc>
          <w:tcPr>
            <w:tcW w:w="2173" w:type="dxa"/>
            <w:gridSpan w:val="2"/>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c>
          <w:tcPr>
            <w:tcW w:w="766"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r>
      <w:tr w:rsidR="00D430C4" w:rsidRPr="00FD3AB6" w:rsidTr="00A9555E">
        <w:trPr>
          <w:trHeight w:val="323"/>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 xml:space="preserve">Wald </w:t>
            </w:r>
          </w:p>
        </w:tc>
        <w:tc>
          <w:tcPr>
            <w:tcW w:w="1344"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c>
          <w:tcPr>
            <w:tcW w:w="1388"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c>
          <w:tcPr>
            <w:tcW w:w="2173" w:type="dxa"/>
            <w:gridSpan w:val="2"/>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Chi square (6)= 471.66</w:t>
            </w:r>
          </w:p>
        </w:tc>
        <w:tc>
          <w:tcPr>
            <w:tcW w:w="766"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r>
      <w:tr w:rsidR="00D430C4" w:rsidRPr="00FD3AB6" w:rsidTr="00A9555E">
        <w:trPr>
          <w:trHeight w:val="350"/>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 xml:space="preserve">F test that all </w:t>
            </w:r>
            <w:proofErr w:type="spellStart"/>
            <w:r w:rsidRPr="00FD3AB6">
              <w:rPr>
                <w:rFonts w:ascii="Times New Roman" w:hAnsi="Times New Roman" w:cs="Times New Roman"/>
                <w:color w:val="000000"/>
                <w:sz w:val="20"/>
                <w:szCs w:val="20"/>
              </w:rPr>
              <w:t>u_i</w:t>
            </w:r>
            <w:proofErr w:type="spellEnd"/>
            <w:r w:rsidRPr="00FD3AB6">
              <w:rPr>
                <w:rFonts w:ascii="Times New Roman" w:hAnsi="Times New Roman" w:cs="Times New Roman"/>
                <w:color w:val="000000"/>
                <w:sz w:val="20"/>
                <w:szCs w:val="20"/>
              </w:rPr>
              <w:t>=0</w:t>
            </w:r>
          </w:p>
        </w:tc>
        <w:tc>
          <w:tcPr>
            <w:tcW w:w="1344"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c>
          <w:tcPr>
            <w:tcW w:w="1388" w:type="dxa"/>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2.35*</w:t>
            </w:r>
          </w:p>
        </w:tc>
        <w:tc>
          <w:tcPr>
            <w:tcW w:w="2173" w:type="dxa"/>
            <w:gridSpan w:val="2"/>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c>
          <w:tcPr>
            <w:tcW w:w="766" w:type="dxa"/>
            <w:vAlign w:val="center"/>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p>
        </w:tc>
      </w:tr>
      <w:tr w:rsidR="00A9555E" w:rsidRPr="00FD3AB6" w:rsidTr="00A9555E">
        <w:trPr>
          <w:trHeight w:val="377"/>
        </w:trPr>
        <w:tc>
          <w:tcPr>
            <w:tcW w:w="1733" w:type="dxa"/>
            <w:hideMark/>
          </w:tcPr>
          <w:p w:rsidR="00A9555E" w:rsidRPr="00FD3AB6" w:rsidRDefault="00A9555E" w:rsidP="00A9555E">
            <w:pPr>
              <w:snapToGrid w:val="0"/>
              <w:spacing w:after="0" w:line="240" w:lineRule="auto"/>
              <w:jc w:val="center"/>
              <w:rPr>
                <w:rFonts w:ascii="Times New Roman" w:hAnsi="Times New Roman" w:cs="Times New Roman"/>
                <w:color w:val="000000"/>
                <w:sz w:val="20"/>
                <w:szCs w:val="20"/>
                <w:lang w:eastAsia="ar-SA"/>
              </w:rPr>
            </w:pPr>
            <w:proofErr w:type="spellStart"/>
            <w:r w:rsidRPr="00FD3AB6">
              <w:rPr>
                <w:rFonts w:ascii="Times New Roman" w:hAnsi="Times New Roman" w:cs="Times New Roman"/>
                <w:color w:val="000000"/>
                <w:sz w:val="20"/>
                <w:szCs w:val="20"/>
              </w:rPr>
              <w:t>Hausman</w:t>
            </w:r>
            <w:proofErr w:type="spellEnd"/>
            <w:r w:rsidRPr="00FD3AB6">
              <w:rPr>
                <w:rFonts w:ascii="Times New Roman" w:hAnsi="Times New Roman" w:cs="Times New Roman"/>
                <w:color w:val="000000"/>
                <w:sz w:val="20"/>
                <w:szCs w:val="20"/>
              </w:rPr>
              <w:t xml:space="preserve"> Specification test</w:t>
            </w:r>
          </w:p>
        </w:tc>
        <w:tc>
          <w:tcPr>
            <w:tcW w:w="5671" w:type="dxa"/>
            <w:gridSpan w:val="5"/>
            <w:hideMark/>
          </w:tcPr>
          <w:p w:rsidR="00A9555E" w:rsidRPr="00FD3AB6" w:rsidRDefault="00A9555E" w:rsidP="00A9555E">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Chi square = 18.24</w:t>
            </w:r>
          </w:p>
          <w:p w:rsidR="00A9555E" w:rsidRPr="00FD3AB6" w:rsidRDefault="00A9555E" w:rsidP="00A9555E">
            <w:pPr>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(p=0.0057)</w:t>
            </w:r>
          </w:p>
        </w:tc>
      </w:tr>
      <w:tr w:rsidR="00D430C4" w:rsidRPr="00FD3AB6" w:rsidTr="00A9555E">
        <w:trPr>
          <w:trHeight w:val="170"/>
        </w:trPr>
        <w:tc>
          <w:tcPr>
            <w:tcW w:w="1733" w:type="dxa"/>
            <w:vAlign w:val="bottom"/>
            <w:hideMark/>
          </w:tcPr>
          <w:p w:rsidR="00D430C4" w:rsidRPr="00FD3AB6" w:rsidRDefault="00D430C4" w:rsidP="00FD3AB6">
            <w:pPr>
              <w:snapToGrid w:val="0"/>
              <w:spacing w:after="0" w:line="240" w:lineRule="auto"/>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Number of observations</w:t>
            </w:r>
          </w:p>
        </w:tc>
        <w:tc>
          <w:tcPr>
            <w:tcW w:w="5671" w:type="dxa"/>
            <w:gridSpan w:val="5"/>
            <w:vAlign w:val="center"/>
            <w:hideMark/>
          </w:tcPr>
          <w:p w:rsidR="00D430C4" w:rsidRPr="00FD3AB6" w:rsidRDefault="00D430C4" w:rsidP="00FD3AB6">
            <w:pPr>
              <w:snapToGrid w:val="0"/>
              <w:spacing w:after="0" w:line="240" w:lineRule="auto"/>
              <w:jc w:val="center"/>
              <w:rPr>
                <w:rFonts w:ascii="Times New Roman" w:hAnsi="Times New Roman" w:cs="Times New Roman"/>
                <w:color w:val="000000"/>
                <w:sz w:val="20"/>
                <w:szCs w:val="20"/>
                <w:lang w:eastAsia="ar-SA"/>
              </w:rPr>
            </w:pPr>
            <w:r w:rsidRPr="00FD3AB6">
              <w:rPr>
                <w:rFonts w:ascii="Times New Roman" w:hAnsi="Times New Roman" w:cs="Times New Roman"/>
                <w:color w:val="000000"/>
                <w:sz w:val="20"/>
                <w:szCs w:val="20"/>
              </w:rPr>
              <w:t>1770</w:t>
            </w:r>
          </w:p>
        </w:tc>
      </w:tr>
    </w:tbl>
    <w:p w:rsidR="00D430C4" w:rsidRPr="00FD3AB6" w:rsidRDefault="00D430C4" w:rsidP="00FD3AB6">
      <w:pPr>
        <w:spacing w:after="0" w:line="240" w:lineRule="auto"/>
        <w:jc w:val="both"/>
        <w:rPr>
          <w:rFonts w:ascii="Times New Roman" w:hAnsi="Times New Roman" w:cs="Times New Roman"/>
          <w:sz w:val="20"/>
          <w:szCs w:val="20"/>
          <w:lang w:eastAsia="ar-SA"/>
        </w:rPr>
      </w:pPr>
      <w:r w:rsidRPr="00FD3AB6">
        <w:rPr>
          <w:rFonts w:ascii="Times New Roman" w:hAnsi="Times New Roman" w:cs="Times New Roman"/>
          <w:sz w:val="20"/>
          <w:szCs w:val="20"/>
        </w:rPr>
        <w:t>*Significant at 5% level</w:t>
      </w:r>
    </w:p>
    <w:p w:rsidR="00A9555E" w:rsidRDefault="00A9555E" w:rsidP="00A9555E">
      <w:pPr>
        <w:spacing w:line="360" w:lineRule="auto"/>
        <w:jc w:val="both"/>
        <w:rPr>
          <w:rFonts w:ascii="Times New Roman" w:hAnsi="Times New Roman" w:cs="Times New Roman"/>
          <w:sz w:val="20"/>
          <w:szCs w:val="20"/>
        </w:rPr>
      </w:pPr>
    </w:p>
    <w:p w:rsidR="00D430C4" w:rsidRPr="006F1FC3" w:rsidRDefault="00D430C4" w:rsidP="00A9555E">
      <w:pPr>
        <w:spacing w:after="120" w:line="360" w:lineRule="auto"/>
        <w:jc w:val="both"/>
        <w:rPr>
          <w:rFonts w:ascii="Times New Roman" w:hAnsi="Times New Roman"/>
        </w:rPr>
      </w:pPr>
      <w:r w:rsidRPr="006F1FC3">
        <w:rPr>
          <w:rFonts w:ascii="Times New Roman" w:hAnsi="Times New Roman"/>
        </w:rPr>
        <w:t xml:space="preserve">Results of panel regression show that migration, represented by MIGINTEN positively influence asset holding of households. Moreover </w:t>
      </w:r>
      <w:r w:rsidRPr="006F1FC3">
        <w:rPr>
          <w:rFonts w:ascii="Times New Roman" w:hAnsi="Times New Roman"/>
        </w:rPr>
        <w:lastRenderedPageBreak/>
        <w:t>its</w:t>
      </w:r>
      <w:r>
        <w:rPr>
          <w:rFonts w:ascii="Times New Roman" w:hAnsi="Times New Roman"/>
        </w:rPr>
        <w:t xml:space="preserve"> contribution is significant</w:t>
      </w:r>
      <w:r w:rsidRPr="006F1FC3">
        <w:rPr>
          <w:rFonts w:ascii="Times New Roman" w:hAnsi="Times New Roman"/>
        </w:rPr>
        <w:t>.</w:t>
      </w:r>
      <w:r>
        <w:rPr>
          <w:rFonts w:ascii="Times New Roman" w:hAnsi="Times New Roman"/>
        </w:rPr>
        <w:t xml:space="preserve"> </w:t>
      </w:r>
      <w:r w:rsidRPr="006F1FC3">
        <w:rPr>
          <w:rFonts w:ascii="Times New Roman" w:hAnsi="Times New Roman"/>
        </w:rPr>
        <w:t>But on the other hand non migrant employment represented by NMEMPL does not have any significant impact</w:t>
      </w:r>
      <w:r>
        <w:rPr>
          <w:rFonts w:ascii="Times New Roman" w:hAnsi="Times New Roman"/>
        </w:rPr>
        <w:t xml:space="preserve"> on asset holding of households</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Hence migrant households may be able to acquire more assets than </w:t>
      </w:r>
      <w:proofErr w:type="spellStart"/>
      <w:r w:rsidRPr="006F1FC3">
        <w:rPr>
          <w:rFonts w:ascii="Times New Roman" w:hAnsi="Times New Roman"/>
        </w:rPr>
        <w:t>non migran</w:t>
      </w:r>
      <w:r>
        <w:rPr>
          <w:rFonts w:ascii="Times New Roman" w:hAnsi="Times New Roman"/>
        </w:rPr>
        <w:t>t</w:t>
      </w:r>
      <w:proofErr w:type="spellEnd"/>
      <w:r>
        <w:rPr>
          <w:rFonts w:ascii="Times New Roman" w:hAnsi="Times New Roman"/>
        </w:rPr>
        <w:t xml:space="preserve"> households. </w:t>
      </w:r>
      <w:r w:rsidRPr="006F1FC3">
        <w:rPr>
          <w:rFonts w:ascii="Times New Roman" w:hAnsi="Times New Roman"/>
        </w:rPr>
        <w:t>This might lead to widening of inequalities in asset holding between mig</w:t>
      </w:r>
      <w:r>
        <w:rPr>
          <w:rFonts w:ascii="Times New Roman" w:hAnsi="Times New Roman"/>
        </w:rPr>
        <w:t xml:space="preserve">rant and </w:t>
      </w:r>
      <w:proofErr w:type="spellStart"/>
      <w:r>
        <w:rPr>
          <w:rFonts w:ascii="Times New Roman" w:hAnsi="Times New Roman"/>
        </w:rPr>
        <w:t>non migrant</w:t>
      </w:r>
      <w:proofErr w:type="spellEnd"/>
      <w:r>
        <w:rPr>
          <w:rFonts w:ascii="Times New Roman" w:hAnsi="Times New Roman"/>
        </w:rPr>
        <w:t xml:space="preserve"> households</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Thus the regression result indirectly confirms the role of migration in creating inequalities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Even though caste and sex of head of household have significant impacts on asset holding, they are</w:t>
      </w:r>
      <w:r>
        <w:rPr>
          <w:rFonts w:ascii="Times New Roman" w:hAnsi="Times New Roman"/>
        </w:rPr>
        <w:t xml:space="preserve"> not interacting with migration</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Thus the regression results brought out various factors that influence asset based standard of living indicator and at the same time confirms the role of migration in determining </w:t>
      </w:r>
      <w:r>
        <w:rPr>
          <w:rFonts w:ascii="Times New Roman" w:hAnsi="Times New Roman"/>
        </w:rPr>
        <w:t>standard of living of household</w:t>
      </w:r>
      <w:r w:rsidRPr="006F1FC3">
        <w:rPr>
          <w:rFonts w:ascii="Times New Roman" w:hAnsi="Times New Roman"/>
        </w:rPr>
        <w:t>.</w:t>
      </w:r>
      <w:r>
        <w:rPr>
          <w:rFonts w:ascii="Times New Roman" w:hAnsi="Times New Roman"/>
        </w:rPr>
        <w:t xml:space="preserve"> </w:t>
      </w:r>
      <w:proofErr w:type="gramStart"/>
      <w:r w:rsidRPr="006F1FC3">
        <w:rPr>
          <w:rFonts w:ascii="Times New Roman" w:hAnsi="Times New Roman"/>
        </w:rPr>
        <w:t xml:space="preserve">The difference in significance of migrant and </w:t>
      </w:r>
      <w:proofErr w:type="spellStart"/>
      <w:r w:rsidRPr="006F1FC3">
        <w:rPr>
          <w:rFonts w:ascii="Times New Roman" w:hAnsi="Times New Roman"/>
        </w:rPr>
        <w:t>non migrant</w:t>
      </w:r>
      <w:proofErr w:type="spellEnd"/>
      <w:r w:rsidRPr="006F1FC3">
        <w:rPr>
          <w:rFonts w:ascii="Times New Roman" w:hAnsi="Times New Roman"/>
        </w:rPr>
        <w:t xml:space="preserve"> employment point to the role of migration in inequality.</w:t>
      </w:r>
      <w:proofErr w:type="gramEnd"/>
    </w:p>
    <w:p w:rsidR="00D430C4" w:rsidRPr="006F1FC3" w:rsidRDefault="00D430C4" w:rsidP="00A9555E">
      <w:pPr>
        <w:spacing w:after="120" w:line="360" w:lineRule="auto"/>
        <w:jc w:val="both"/>
        <w:rPr>
          <w:rFonts w:ascii="Times New Roman" w:hAnsi="Times New Roman"/>
          <w:b/>
        </w:rPr>
      </w:pPr>
      <w:r w:rsidRPr="006F1FC3">
        <w:rPr>
          <w:rFonts w:ascii="Times New Roman" w:hAnsi="Times New Roman"/>
          <w:b/>
        </w:rPr>
        <w:t>4.</w:t>
      </w:r>
      <w:r w:rsidR="00A9555E">
        <w:rPr>
          <w:rFonts w:ascii="Times New Roman" w:hAnsi="Times New Roman"/>
          <w:b/>
        </w:rPr>
        <w:t>0</w:t>
      </w:r>
      <w:r w:rsidRPr="006F1FC3">
        <w:rPr>
          <w:rFonts w:ascii="Times New Roman" w:hAnsi="Times New Roman"/>
          <w:b/>
        </w:rPr>
        <w:t xml:space="preserve"> Summary and Conclusion</w:t>
      </w:r>
    </w:p>
    <w:p w:rsidR="00D430C4" w:rsidRPr="006F1FC3" w:rsidRDefault="00D430C4" w:rsidP="00A9555E">
      <w:pPr>
        <w:spacing w:after="120" w:line="360" w:lineRule="auto"/>
        <w:jc w:val="both"/>
        <w:rPr>
          <w:rFonts w:ascii="Times New Roman" w:hAnsi="Times New Roman"/>
          <w:color w:val="000000"/>
        </w:rPr>
      </w:pPr>
      <w:r w:rsidRPr="006F1FC3">
        <w:rPr>
          <w:rFonts w:ascii="Times New Roman" w:hAnsi="Times New Roman"/>
        </w:rPr>
        <w:t xml:space="preserve">This study tried to understand the impact of migration and remittances on Kerala's inequality scenario. An attempt has been made here to examine whether migration was causing inequality between households with or without migrants and if so, to what extent. The dominant analytical technique adopted in studies examining migration-inequality link is to estimate the marginal impact of a change in remittances on some inequality measure, mostly the </w:t>
      </w:r>
      <w:proofErr w:type="spellStart"/>
      <w:r w:rsidRPr="006F1FC3">
        <w:rPr>
          <w:rFonts w:ascii="Times New Roman" w:hAnsi="Times New Roman"/>
        </w:rPr>
        <w:t>Gini</w:t>
      </w:r>
      <w:proofErr w:type="spellEnd"/>
      <w:r w:rsidRPr="006F1FC3">
        <w:rPr>
          <w:rFonts w:ascii="Times New Roman" w:hAnsi="Times New Roman"/>
        </w:rPr>
        <w:t xml:space="preserve"> coefficient. An analysis of this sort was done using data on income proxies, mainly consumer expenditure data, obtained from 2008 round of KMS. This analysis revealed that 1% rise in remittances coming to Kerala raise the </w:t>
      </w:r>
      <w:proofErr w:type="spellStart"/>
      <w:r w:rsidRPr="006F1FC3">
        <w:rPr>
          <w:rFonts w:ascii="Times New Roman" w:hAnsi="Times New Roman"/>
        </w:rPr>
        <w:t>Gini</w:t>
      </w:r>
      <w:proofErr w:type="spellEnd"/>
      <w:r w:rsidRPr="006F1FC3">
        <w:rPr>
          <w:rFonts w:ascii="Times New Roman" w:hAnsi="Times New Roman"/>
        </w:rPr>
        <w:t xml:space="preserve"> coefficient by 0.06%, </w:t>
      </w:r>
      <w:r w:rsidRPr="006F1FC3">
        <w:rPr>
          <w:rFonts w:ascii="Times New Roman" w:hAnsi="Times New Roman"/>
        </w:rPr>
        <w:lastRenderedPageBreak/>
        <w:t>thus remittances have a direct positive impact on inequality but the magnitude of influence was not very high. Had data on income proxies available for 1998 round of KMS, one could have conducted the same analysis for both 1998 round and compared the results. Since this was not possible</w:t>
      </w:r>
      <w:r>
        <w:rPr>
          <w:rFonts w:ascii="Times New Roman" w:hAnsi="Times New Roman"/>
        </w:rPr>
        <w:t>,</w:t>
      </w:r>
      <w:r w:rsidRPr="006F1FC3">
        <w:rPr>
          <w:rFonts w:ascii="Times New Roman" w:hAnsi="Times New Roman"/>
        </w:rPr>
        <w:t xml:space="preserve"> further study could not be made based on proxies of income.</w:t>
      </w:r>
      <w:r>
        <w:rPr>
          <w:rFonts w:ascii="Times New Roman" w:hAnsi="Times New Roman"/>
        </w:rPr>
        <w:t xml:space="preserve"> </w:t>
      </w:r>
      <w:r w:rsidRPr="006F1FC3">
        <w:rPr>
          <w:rFonts w:ascii="Times New Roman" w:hAnsi="Times New Roman"/>
        </w:rPr>
        <w:t xml:space="preserve">Since information on asset holding and housing conditions were available for both 1998 and 2008 rounds, an asset based standard of living indicator (SOLI) was used to compare the role of migration in inequality in 1998 and 2008. To ascertain the contribution of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to overall inequality a decomposition of </w:t>
      </w:r>
      <w:proofErr w:type="spellStart"/>
      <w:r w:rsidRPr="006F1FC3">
        <w:rPr>
          <w:rFonts w:ascii="Times New Roman" w:hAnsi="Times New Roman"/>
        </w:rPr>
        <w:t>Thei</w:t>
      </w:r>
      <w:r>
        <w:rPr>
          <w:rFonts w:ascii="Times New Roman" w:hAnsi="Times New Roman"/>
        </w:rPr>
        <w:t>l</w:t>
      </w:r>
      <w:proofErr w:type="spellEnd"/>
      <w:r>
        <w:rPr>
          <w:rFonts w:ascii="Times New Roman" w:hAnsi="Times New Roman"/>
        </w:rPr>
        <w:t xml:space="preserve"> index of SOLI scores was done</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This analysis showed that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contributed only 7 percentages of total inequalities in 1998 and 6 percentages of total inequalities 2008. The rest was contributed by inequality within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Thus it was inequalities within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that mattered. Migration did have a positive role in inequality but the magnitude of its contribution was not very high.</w:t>
      </w:r>
      <w:r w:rsidRPr="006F1FC3">
        <w:rPr>
          <w:rFonts w:ascii="Times New Roman" w:hAnsi="Times New Roman"/>
          <w:color w:val="000000"/>
        </w:rPr>
        <w:t xml:space="preserve"> Migration reinforces cast based inequality in household asset holding but reduces gender based inequality in household asset holding. Finally the study tried to filter out migration's impact of standard of living by running a panel regression to control other factors that influence standard of living, indicated by SOLI scores of panel households. This analysis revealed a positive and significant role for migration in determining standard of living of household; but at the same time showed an insignificant</w:t>
      </w:r>
      <w:r>
        <w:rPr>
          <w:rFonts w:ascii="Times New Roman" w:hAnsi="Times New Roman"/>
          <w:color w:val="000000"/>
        </w:rPr>
        <w:t xml:space="preserve"> role to </w:t>
      </w:r>
      <w:proofErr w:type="spellStart"/>
      <w:r>
        <w:rPr>
          <w:rFonts w:ascii="Times New Roman" w:hAnsi="Times New Roman"/>
          <w:color w:val="000000"/>
        </w:rPr>
        <w:t>non migrant</w:t>
      </w:r>
      <w:proofErr w:type="spellEnd"/>
      <w:r>
        <w:rPr>
          <w:rFonts w:ascii="Times New Roman" w:hAnsi="Times New Roman"/>
          <w:color w:val="000000"/>
        </w:rPr>
        <w:t xml:space="preserve"> employment</w:t>
      </w:r>
      <w:r w:rsidRPr="006F1FC3">
        <w:rPr>
          <w:rFonts w:ascii="Times New Roman" w:hAnsi="Times New Roman"/>
          <w:color w:val="000000"/>
        </w:rPr>
        <w:t>.</w:t>
      </w:r>
      <w:r>
        <w:rPr>
          <w:rFonts w:ascii="Times New Roman" w:hAnsi="Times New Roman"/>
          <w:color w:val="000000"/>
        </w:rPr>
        <w:t xml:space="preserve"> </w:t>
      </w:r>
      <w:r w:rsidRPr="006F1FC3">
        <w:rPr>
          <w:rFonts w:ascii="Times New Roman" w:hAnsi="Times New Roman"/>
          <w:color w:val="000000"/>
        </w:rPr>
        <w:t xml:space="preserve">This difference in significance indicated that inequality between migrant and </w:t>
      </w:r>
      <w:proofErr w:type="spellStart"/>
      <w:r w:rsidRPr="006F1FC3">
        <w:rPr>
          <w:rFonts w:ascii="Times New Roman" w:hAnsi="Times New Roman"/>
          <w:color w:val="000000"/>
        </w:rPr>
        <w:t>non migrant</w:t>
      </w:r>
      <w:proofErr w:type="spellEnd"/>
      <w:r w:rsidRPr="006F1FC3">
        <w:rPr>
          <w:rFonts w:ascii="Times New Roman" w:hAnsi="Times New Roman"/>
          <w:color w:val="000000"/>
        </w:rPr>
        <w:t xml:space="preserve"> households was widening.</w:t>
      </w:r>
    </w:p>
    <w:p w:rsidR="00D430C4" w:rsidRPr="006F1FC3" w:rsidRDefault="00D430C4" w:rsidP="00A9555E">
      <w:pPr>
        <w:spacing w:after="120" w:line="360" w:lineRule="auto"/>
        <w:jc w:val="both"/>
        <w:rPr>
          <w:rFonts w:ascii="Times New Roman" w:hAnsi="Times New Roman"/>
        </w:rPr>
      </w:pPr>
      <w:r w:rsidRPr="006F1FC3">
        <w:rPr>
          <w:rFonts w:ascii="Times New Roman" w:hAnsi="Times New Roman"/>
        </w:rPr>
        <w:lastRenderedPageBreak/>
        <w:t xml:space="preserve">The study revealed that migration and remittances had a positive and significant role in creating inequalities in standard of living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Quantification of role of migration in inequalities confirmed that migration was creating inequalities in standard of living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Migration and remittances had a positive impact on inequality between migrant and </w:t>
      </w:r>
      <w:proofErr w:type="spellStart"/>
      <w:r w:rsidRPr="006F1FC3">
        <w:rPr>
          <w:rFonts w:ascii="Times New Roman" w:hAnsi="Times New Roman"/>
        </w:rPr>
        <w:t>non migrant</w:t>
      </w:r>
      <w:proofErr w:type="spellEnd"/>
      <w:r w:rsidRPr="006F1FC3">
        <w:rPr>
          <w:rFonts w:ascii="Times New Roman" w:hAnsi="Times New Roman"/>
        </w:rPr>
        <w:t xml:space="preserve"> households. But the magnit</w:t>
      </w:r>
      <w:r>
        <w:rPr>
          <w:rFonts w:ascii="Times New Roman" w:hAnsi="Times New Roman"/>
        </w:rPr>
        <w:t>ude of impact was not very high</w:t>
      </w:r>
      <w:r w:rsidRPr="006F1FC3">
        <w:rPr>
          <w:rFonts w:ascii="Times New Roman" w:hAnsi="Times New Roman"/>
        </w:rPr>
        <w:t>.</w:t>
      </w:r>
      <w:r>
        <w:rPr>
          <w:rFonts w:ascii="Times New Roman" w:hAnsi="Times New Roman"/>
        </w:rPr>
        <w:t xml:space="preserve"> </w:t>
      </w:r>
      <w:r w:rsidRPr="006F1FC3">
        <w:rPr>
          <w:rFonts w:ascii="Times New Roman" w:hAnsi="Times New Roman"/>
        </w:rPr>
        <w:t xml:space="preserve">However, given that even if the effect of migration on inequality was small in comparison to other unexplained factors, the analysis of panel data showed that its role in inequality was significant. In short, though migration may not be a cause to worry as an explanation for inequality currently, it has the potential to become one in future, as shown in the panel analysis. </w:t>
      </w:r>
    </w:p>
    <w:p w:rsidR="00D430C4" w:rsidRPr="006F1FC3" w:rsidRDefault="00D430C4" w:rsidP="00A9555E">
      <w:pPr>
        <w:tabs>
          <w:tab w:val="left" w:pos="9000"/>
        </w:tabs>
        <w:spacing w:after="120" w:line="360" w:lineRule="auto"/>
        <w:rPr>
          <w:rFonts w:ascii="Times New Roman" w:hAnsi="Times New Roman"/>
          <w:b/>
        </w:rPr>
      </w:pPr>
      <w:r w:rsidRPr="006F1FC3">
        <w:rPr>
          <w:rFonts w:ascii="Times New Roman" w:hAnsi="Times New Roman"/>
          <w:b/>
        </w:rPr>
        <w:t>5.</w:t>
      </w:r>
      <w:r w:rsidR="00A9555E">
        <w:rPr>
          <w:rFonts w:ascii="Times New Roman" w:hAnsi="Times New Roman"/>
          <w:b/>
        </w:rPr>
        <w:t>0</w:t>
      </w:r>
      <w:r w:rsidRPr="006F1FC3">
        <w:rPr>
          <w:rFonts w:ascii="Times New Roman" w:hAnsi="Times New Roman"/>
          <w:b/>
        </w:rPr>
        <w:t xml:space="preserve"> Limitations of the Study and recommendations for further study</w:t>
      </w:r>
    </w:p>
    <w:p w:rsidR="00D430C4" w:rsidRDefault="00D430C4" w:rsidP="00A9555E">
      <w:pPr>
        <w:tabs>
          <w:tab w:val="left" w:pos="9000"/>
        </w:tabs>
        <w:spacing w:after="120" w:line="360" w:lineRule="auto"/>
        <w:jc w:val="both"/>
        <w:rPr>
          <w:rFonts w:ascii="Times New Roman" w:hAnsi="Times New Roman"/>
        </w:rPr>
      </w:pPr>
      <w:r w:rsidRPr="006F1FC3">
        <w:rPr>
          <w:rFonts w:ascii="Times New Roman" w:hAnsi="Times New Roman"/>
        </w:rPr>
        <w:t xml:space="preserve">The data used for comparing the role of migration belong to a period of 10 years. But inequality is something that gets established among individuals and households in a longer period of time. Asset accumulation of individuals and households is an outcome of various historical processes to which they are exposed. Thus the patterns of asset holdings of households may be influenced by events that took place much before 1998. Migration from Kerala became prominent from 1940’s onwards. Given the fact that migration from Kerala has more than 70 years of history, an analysis with longer time span will give better picture of the role of migration in inequality. So a study covering a longer period is necessary. But constraints of </w:t>
      </w:r>
      <w:proofErr w:type="spellStart"/>
      <w:r w:rsidRPr="006F1FC3">
        <w:rPr>
          <w:rFonts w:ascii="Times New Roman" w:hAnsi="Times New Roman"/>
        </w:rPr>
        <w:t>non availability</w:t>
      </w:r>
      <w:proofErr w:type="spellEnd"/>
      <w:r w:rsidRPr="006F1FC3">
        <w:rPr>
          <w:rFonts w:ascii="Times New Roman" w:hAnsi="Times New Roman"/>
        </w:rPr>
        <w:t xml:space="preserve"> of data make such a study a </w:t>
      </w:r>
      <w:r w:rsidRPr="006F1FC3">
        <w:rPr>
          <w:rFonts w:ascii="Times New Roman" w:hAnsi="Times New Roman"/>
        </w:rPr>
        <w:lastRenderedPageBreak/>
        <w:t xml:space="preserve">difficult one. </w:t>
      </w:r>
    </w:p>
    <w:p w:rsidR="00D430C4" w:rsidRPr="00A9555E" w:rsidRDefault="00D430C4" w:rsidP="00A9555E">
      <w:pPr>
        <w:spacing w:after="120" w:line="360" w:lineRule="auto"/>
        <w:jc w:val="both"/>
        <w:rPr>
          <w:rFonts w:ascii="Times New Roman" w:hAnsi="Times New Roman"/>
          <w:b/>
        </w:rPr>
      </w:pPr>
      <w:r w:rsidRPr="00A9555E">
        <w:rPr>
          <w:rFonts w:ascii="Times New Roman" w:hAnsi="Times New Roman"/>
          <w:b/>
        </w:rPr>
        <w:t>References</w:t>
      </w:r>
    </w:p>
    <w:p w:rsidR="00D430C4" w:rsidRPr="00464961" w:rsidRDefault="00D430C4" w:rsidP="00A9555E">
      <w:pPr>
        <w:spacing w:after="120" w:line="240" w:lineRule="auto"/>
        <w:ind w:left="720" w:hanging="720"/>
        <w:jc w:val="both"/>
        <w:rPr>
          <w:rFonts w:ascii="Times New Roman" w:hAnsi="Times New Roman"/>
        </w:rPr>
      </w:pPr>
      <w:r>
        <w:rPr>
          <w:rFonts w:ascii="Times New Roman" w:hAnsi="Times New Roman"/>
        </w:rPr>
        <w:t xml:space="preserve">Adams, Jr., R.H. </w:t>
      </w:r>
      <w:r w:rsidR="00A9555E">
        <w:rPr>
          <w:rFonts w:ascii="Times New Roman" w:hAnsi="Times New Roman"/>
        </w:rPr>
        <w:t>(</w:t>
      </w:r>
      <w:r>
        <w:rPr>
          <w:rFonts w:ascii="Times New Roman" w:hAnsi="Times New Roman"/>
        </w:rPr>
        <w:t>1989</w:t>
      </w:r>
      <w:r w:rsidR="00A9555E">
        <w:rPr>
          <w:rFonts w:ascii="Times New Roman" w:hAnsi="Times New Roman"/>
        </w:rPr>
        <w:t>):</w:t>
      </w:r>
      <w:r>
        <w:rPr>
          <w:rFonts w:ascii="Times New Roman" w:hAnsi="Times New Roman"/>
        </w:rPr>
        <w:t xml:space="preserve"> ‘</w:t>
      </w:r>
      <w:r w:rsidRPr="00464961">
        <w:rPr>
          <w:rFonts w:ascii="Times New Roman" w:hAnsi="Times New Roman"/>
        </w:rPr>
        <w:t>Worker remittances</w:t>
      </w:r>
      <w:r>
        <w:rPr>
          <w:rFonts w:ascii="Times New Roman" w:hAnsi="Times New Roman"/>
        </w:rPr>
        <w:t xml:space="preserve"> and inequality in rural Egypt’,</w:t>
      </w:r>
      <w:r w:rsidRPr="00464961">
        <w:rPr>
          <w:rFonts w:ascii="Times New Roman" w:hAnsi="Times New Roman"/>
        </w:rPr>
        <w:t xml:space="preserve"> </w:t>
      </w:r>
      <w:r w:rsidRPr="00A9555E">
        <w:rPr>
          <w:rFonts w:ascii="Times New Roman" w:hAnsi="Times New Roman"/>
          <w:i/>
        </w:rPr>
        <w:t>Economic Development and Cultural Change</w:t>
      </w:r>
      <w:r w:rsidR="00A9555E">
        <w:rPr>
          <w:rFonts w:ascii="Times New Roman" w:hAnsi="Times New Roman"/>
        </w:rPr>
        <w:t>,</w:t>
      </w:r>
      <w:r w:rsidRPr="00464961">
        <w:rPr>
          <w:rFonts w:ascii="Times New Roman" w:hAnsi="Times New Roman"/>
        </w:rPr>
        <w:t xml:space="preserve"> 38: 45-71.</w:t>
      </w:r>
      <w:r w:rsidRPr="00464961">
        <w:rPr>
          <w:rFonts w:ascii="Times New Roman" w:hAnsi="Times New Roman"/>
        </w:rPr>
        <w:tab/>
      </w:r>
    </w:p>
    <w:p w:rsidR="00D430C4" w:rsidRPr="00464961" w:rsidRDefault="00D430C4" w:rsidP="00A9555E">
      <w:pPr>
        <w:spacing w:after="120" w:line="240" w:lineRule="auto"/>
        <w:ind w:left="720" w:hanging="720"/>
        <w:jc w:val="both"/>
        <w:rPr>
          <w:rFonts w:ascii="Times New Roman" w:hAnsi="Times New Roman"/>
        </w:rPr>
      </w:pPr>
      <w:proofErr w:type="gramStart"/>
      <w:r>
        <w:rPr>
          <w:rFonts w:ascii="Times New Roman" w:hAnsi="Times New Roman"/>
        </w:rPr>
        <w:t xml:space="preserve">Ainsworth, Martha and Deon </w:t>
      </w:r>
      <w:proofErr w:type="spellStart"/>
      <w:r>
        <w:rPr>
          <w:rFonts w:ascii="Times New Roman" w:hAnsi="Times New Roman"/>
        </w:rPr>
        <w:t>Filmer</w:t>
      </w:r>
      <w:proofErr w:type="spellEnd"/>
      <w:r>
        <w:rPr>
          <w:rFonts w:ascii="Times New Roman" w:hAnsi="Times New Roman"/>
        </w:rPr>
        <w:t>.</w:t>
      </w:r>
      <w:proofErr w:type="gramEnd"/>
      <w:r>
        <w:rPr>
          <w:rFonts w:ascii="Times New Roman" w:hAnsi="Times New Roman"/>
        </w:rPr>
        <w:t xml:space="preserve"> </w:t>
      </w:r>
      <w:r w:rsidR="00A9555E">
        <w:rPr>
          <w:rFonts w:ascii="Times New Roman" w:hAnsi="Times New Roman"/>
        </w:rPr>
        <w:t>(2006):</w:t>
      </w:r>
      <w:r>
        <w:rPr>
          <w:rFonts w:ascii="Times New Roman" w:hAnsi="Times New Roman"/>
        </w:rPr>
        <w:t xml:space="preserve"> ‘</w:t>
      </w:r>
      <w:r w:rsidRPr="00464961">
        <w:rPr>
          <w:rFonts w:ascii="Times New Roman" w:hAnsi="Times New Roman"/>
        </w:rPr>
        <w:t xml:space="preserve">Children's Schooling: AIDS, </w:t>
      </w:r>
      <w:proofErr w:type="spellStart"/>
      <w:r>
        <w:rPr>
          <w:rFonts w:ascii="Times New Roman" w:hAnsi="Times New Roman"/>
        </w:rPr>
        <w:t>Orphanhood</w:t>
      </w:r>
      <w:proofErr w:type="gramStart"/>
      <w:r>
        <w:rPr>
          <w:rFonts w:ascii="Times New Roman" w:hAnsi="Times New Roman"/>
        </w:rPr>
        <w:t>,Poverty</w:t>
      </w:r>
      <w:proofErr w:type="spellEnd"/>
      <w:proofErr w:type="gramEnd"/>
      <w:r>
        <w:rPr>
          <w:rFonts w:ascii="Times New Roman" w:hAnsi="Times New Roman"/>
        </w:rPr>
        <w:t>, and Gender’,</w:t>
      </w:r>
      <w:r w:rsidRPr="00464961">
        <w:rPr>
          <w:rFonts w:ascii="Times New Roman" w:hAnsi="Times New Roman"/>
        </w:rPr>
        <w:t xml:space="preserve"> </w:t>
      </w:r>
      <w:r w:rsidRPr="00A9555E">
        <w:rPr>
          <w:rFonts w:ascii="Times New Roman" w:hAnsi="Times New Roman"/>
          <w:i/>
        </w:rPr>
        <w:t>World Developmen</w:t>
      </w:r>
      <w:r w:rsidR="00A9555E">
        <w:rPr>
          <w:rFonts w:ascii="Times New Roman" w:hAnsi="Times New Roman"/>
          <w:i/>
        </w:rPr>
        <w:t>t,</w:t>
      </w:r>
      <w:r w:rsidRPr="00464961">
        <w:rPr>
          <w:rFonts w:ascii="Times New Roman" w:hAnsi="Times New Roman"/>
        </w:rPr>
        <w:t xml:space="preserve"> 34(6):1099-1128. </w:t>
      </w:r>
    </w:p>
    <w:p w:rsidR="00D430C4" w:rsidRPr="00464961" w:rsidRDefault="00D430C4" w:rsidP="00A9555E">
      <w:pPr>
        <w:spacing w:after="0" w:line="240" w:lineRule="auto"/>
        <w:ind w:left="720" w:hanging="720"/>
        <w:jc w:val="both"/>
        <w:rPr>
          <w:rFonts w:ascii="Times New Roman" w:hAnsi="Times New Roman"/>
        </w:rPr>
      </w:pPr>
      <w:proofErr w:type="spellStart"/>
      <w:r>
        <w:rPr>
          <w:rFonts w:ascii="Times New Roman" w:hAnsi="Times New Roman"/>
        </w:rPr>
        <w:t>Barham</w:t>
      </w:r>
      <w:proofErr w:type="spellEnd"/>
      <w:r>
        <w:rPr>
          <w:rFonts w:ascii="Times New Roman" w:hAnsi="Times New Roman"/>
        </w:rPr>
        <w:t xml:space="preserve">, </w:t>
      </w:r>
      <w:proofErr w:type="gramStart"/>
      <w:r w:rsidRPr="00464961">
        <w:rPr>
          <w:rFonts w:ascii="Times New Roman" w:hAnsi="Times New Roman"/>
        </w:rPr>
        <w:t>B ,</w:t>
      </w:r>
      <w:proofErr w:type="gramEnd"/>
      <w:r w:rsidRPr="00464961">
        <w:rPr>
          <w:rFonts w:ascii="Times New Roman" w:hAnsi="Times New Roman"/>
        </w:rPr>
        <w:t xml:space="preserve"> and S</w:t>
      </w:r>
      <w:r>
        <w:rPr>
          <w:rFonts w:ascii="Times New Roman" w:hAnsi="Times New Roman"/>
        </w:rPr>
        <w:t xml:space="preserve">. </w:t>
      </w:r>
      <w:r w:rsidRPr="00464961">
        <w:rPr>
          <w:rFonts w:ascii="Times New Roman" w:hAnsi="Times New Roman"/>
        </w:rPr>
        <w:t>Boucher</w:t>
      </w:r>
      <w:r w:rsidR="00A9555E">
        <w:rPr>
          <w:rFonts w:ascii="Times New Roman" w:hAnsi="Times New Roman"/>
        </w:rPr>
        <w:t>. (1998):</w:t>
      </w:r>
      <w:r>
        <w:rPr>
          <w:rFonts w:ascii="Times New Roman" w:hAnsi="Times New Roman"/>
        </w:rPr>
        <w:t xml:space="preserve"> ‘</w:t>
      </w:r>
      <w:r w:rsidRPr="00464961">
        <w:rPr>
          <w:rFonts w:ascii="Times New Roman" w:hAnsi="Times New Roman"/>
        </w:rPr>
        <w:t>Migration, remittances, and inequality: estimating the net</w:t>
      </w:r>
      <w:r>
        <w:rPr>
          <w:rFonts w:ascii="Times New Roman" w:hAnsi="Times New Roman"/>
        </w:rPr>
        <w:t xml:space="preserve"> </w:t>
      </w:r>
      <w:r w:rsidRPr="00464961">
        <w:rPr>
          <w:rFonts w:ascii="Times New Roman" w:hAnsi="Times New Roman"/>
        </w:rPr>
        <w:t>effects of migration o</w:t>
      </w:r>
      <w:r>
        <w:rPr>
          <w:rFonts w:ascii="Times New Roman" w:hAnsi="Times New Roman"/>
        </w:rPr>
        <w:t>n income distribution’,</w:t>
      </w:r>
      <w:r w:rsidRPr="00464961">
        <w:rPr>
          <w:rFonts w:ascii="Times New Roman" w:hAnsi="Times New Roman"/>
        </w:rPr>
        <w:t xml:space="preserve"> </w:t>
      </w:r>
      <w:r w:rsidRPr="00A9555E">
        <w:rPr>
          <w:rFonts w:ascii="Times New Roman" w:hAnsi="Times New Roman"/>
          <w:i/>
        </w:rPr>
        <w:t>Journal of Development Economic</w:t>
      </w:r>
      <w:r w:rsidR="00A9555E">
        <w:rPr>
          <w:rFonts w:ascii="Times New Roman" w:hAnsi="Times New Roman"/>
          <w:i/>
        </w:rPr>
        <w:t xml:space="preserve">s, </w:t>
      </w:r>
      <w:r w:rsidRPr="00464961">
        <w:rPr>
          <w:rFonts w:ascii="Times New Roman" w:hAnsi="Times New Roman"/>
        </w:rPr>
        <w:t>55(2): 307-331, April.</w:t>
      </w:r>
    </w:p>
    <w:p w:rsidR="00D430C4" w:rsidRPr="00464961" w:rsidRDefault="00D430C4" w:rsidP="00A9555E">
      <w:pPr>
        <w:spacing w:after="0" w:line="240" w:lineRule="auto"/>
        <w:ind w:left="720" w:hanging="720"/>
        <w:jc w:val="both"/>
        <w:rPr>
          <w:rFonts w:ascii="Times New Roman" w:hAnsi="Times New Roman"/>
        </w:rPr>
      </w:pPr>
      <w:proofErr w:type="spellStart"/>
      <w:proofErr w:type="gramStart"/>
      <w:r>
        <w:rPr>
          <w:rFonts w:ascii="Times New Roman" w:hAnsi="Times New Roman"/>
        </w:rPr>
        <w:t>Bicego</w:t>
      </w:r>
      <w:proofErr w:type="spellEnd"/>
      <w:r>
        <w:rPr>
          <w:rFonts w:ascii="Times New Roman" w:hAnsi="Times New Roman"/>
        </w:rPr>
        <w:t>, G., S.</w:t>
      </w:r>
      <w:r w:rsidR="00A9555E">
        <w:rPr>
          <w:rFonts w:ascii="Times New Roman" w:hAnsi="Times New Roman"/>
        </w:rPr>
        <w:t xml:space="preserve"> </w:t>
      </w:r>
      <w:proofErr w:type="spellStart"/>
      <w:r w:rsidR="00A9555E">
        <w:rPr>
          <w:rFonts w:ascii="Times New Roman" w:hAnsi="Times New Roman"/>
        </w:rPr>
        <w:t>Rutstein</w:t>
      </w:r>
      <w:proofErr w:type="spellEnd"/>
      <w:r w:rsidR="00A9555E">
        <w:rPr>
          <w:rFonts w:ascii="Times New Roman" w:hAnsi="Times New Roman"/>
        </w:rPr>
        <w:t>, and K. Johnson.</w:t>
      </w:r>
      <w:proofErr w:type="gramEnd"/>
      <w:r w:rsidR="00A9555E">
        <w:rPr>
          <w:rFonts w:ascii="Times New Roman" w:hAnsi="Times New Roman"/>
        </w:rPr>
        <w:t xml:space="preserve"> (2003):</w:t>
      </w:r>
      <w:r w:rsidRPr="00464961">
        <w:rPr>
          <w:rFonts w:ascii="Times New Roman" w:hAnsi="Times New Roman"/>
        </w:rPr>
        <w:t xml:space="preserve"> </w:t>
      </w:r>
      <w:r w:rsidR="00A9555E">
        <w:rPr>
          <w:rFonts w:ascii="Times New Roman" w:hAnsi="Times New Roman"/>
        </w:rPr>
        <w:t>‘</w:t>
      </w:r>
      <w:r w:rsidRPr="00464961">
        <w:rPr>
          <w:rFonts w:ascii="Times New Roman" w:hAnsi="Times New Roman"/>
        </w:rPr>
        <w:t>Dimensions of the Emerging Orphan Crisis in Sub-Saharan Africa,</w:t>
      </w:r>
      <w:r w:rsidR="00A9555E">
        <w:rPr>
          <w:rFonts w:ascii="Times New Roman" w:hAnsi="Times New Roman"/>
        </w:rPr>
        <w:t>’</w:t>
      </w:r>
      <w:r w:rsidRPr="00464961">
        <w:rPr>
          <w:rFonts w:ascii="Times New Roman" w:hAnsi="Times New Roman"/>
        </w:rPr>
        <w:t xml:space="preserve"> </w:t>
      </w:r>
      <w:r w:rsidRPr="00A9555E">
        <w:rPr>
          <w:rFonts w:ascii="Times New Roman" w:hAnsi="Times New Roman"/>
          <w:i/>
        </w:rPr>
        <w:t>Social Science and Medicine</w:t>
      </w:r>
      <w:r w:rsidR="00A9555E">
        <w:rPr>
          <w:rFonts w:ascii="Times New Roman" w:hAnsi="Times New Roman"/>
        </w:rPr>
        <w:t>,</w:t>
      </w:r>
      <w:r w:rsidRPr="00A9555E">
        <w:rPr>
          <w:rFonts w:ascii="Times New Roman" w:hAnsi="Times New Roman"/>
        </w:rPr>
        <w:t xml:space="preserve"> </w:t>
      </w:r>
      <w:r w:rsidRPr="00464961">
        <w:rPr>
          <w:rFonts w:ascii="Times New Roman" w:hAnsi="Times New Roman"/>
        </w:rPr>
        <w:t xml:space="preserve">56(6):1235-1247. </w:t>
      </w:r>
    </w:p>
    <w:p w:rsidR="00D430C4" w:rsidRPr="00464961" w:rsidRDefault="00D430C4" w:rsidP="00A9555E">
      <w:pPr>
        <w:spacing w:after="0" w:line="240" w:lineRule="auto"/>
        <w:ind w:left="720" w:hanging="720"/>
        <w:jc w:val="both"/>
        <w:rPr>
          <w:rFonts w:ascii="Times New Roman" w:hAnsi="Times New Roman"/>
        </w:rPr>
      </w:pPr>
      <w:proofErr w:type="spellStart"/>
      <w:proofErr w:type="gramStart"/>
      <w:r w:rsidRPr="00464961">
        <w:rPr>
          <w:rFonts w:ascii="Times New Roman" w:hAnsi="Times New Roman"/>
        </w:rPr>
        <w:t>Bollen</w:t>
      </w:r>
      <w:proofErr w:type="spellEnd"/>
      <w:r w:rsidRPr="00464961">
        <w:rPr>
          <w:rFonts w:ascii="Times New Roman" w:hAnsi="Times New Roman"/>
        </w:rPr>
        <w:t>, Kenneth A., Jennifer L. Gla</w:t>
      </w:r>
      <w:r>
        <w:rPr>
          <w:rFonts w:ascii="Times New Roman" w:hAnsi="Times New Roman"/>
        </w:rPr>
        <w:t xml:space="preserve">nville and Guy </w:t>
      </w:r>
      <w:proofErr w:type="spellStart"/>
      <w:r>
        <w:rPr>
          <w:rFonts w:ascii="Times New Roman" w:hAnsi="Times New Roman"/>
        </w:rPr>
        <w:t>Stecklov</w:t>
      </w:r>
      <w:proofErr w:type="spellEnd"/>
      <w:r>
        <w:rPr>
          <w:rFonts w:ascii="Times New Roman" w:hAnsi="Times New Roman"/>
        </w:rPr>
        <w:t>.</w:t>
      </w:r>
      <w:proofErr w:type="gramEnd"/>
      <w:r>
        <w:rPr>
          <w:rFonts w:ascii="Times New Roman" w:hAnsi="Times New Roman"/>
        </w:rPr>
        <w:t xml:space="preserve"> </w:t>
      </w:r>
      <w:r w:rsidR="00A9555E">
        <w:rPr>
          <w:rFonts w:ascii="Times New Roman" w:hAnsi="Times New Roman"/>
        </w:rPr>
        <w:t>(</w:t>
      </w:r>
      <w:r>
        <w:rPr>
          <w:rFonts w:ascii="Times New Roman" w:hAnsi="Times New Roman"/>
        </w:rPr>
        <w:t>2002</w:t>
      </w:r>
      <w:r w:rsidR="00A9555E">
        <w:rPr>
          <w:rFonts w:ascii="Times New Roman" w:hAnsi="Times New Roman"/>
        </w:rPr>
        <w:t>):</w:t>
      </w:r>
      <w:r>
        <w:rPr>
          <w:rFonts w:ascii="Times New Roman" w:hAnsi="Times New Roman"/>
        </w:rPr>
        <w:t xml:space="preserve"> ‘</w:t>
      </w:r>
      <w:r w:rsidRPr="00464961">
        <w:rPr>
          <w:rFonts w:ascii="Times New Roman" w:hAnsi="Times New Roman"/>
        </w:rPr>
        <w:t>Economic Status Proxies in Studies of Fertility In Developing Countries: Does the Measure matter</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w:t>
      </w:r>
      <w:r w:rsidRPr="00A9555E">
        <w:rPr>
          <w:rFonts w:ascii="Times New Roman" w:hAnsi="Times New Roman"/>
          <w:i/>
        </w:rPr>
        <w:t>Population Studies</w:t>
      </w:r>
      <w:r w:rsidR="00A9555E">
        <w:rPr>
          <w:rFonts w:ascii="Times New Roman" w:hAnsi="Times New Roman"/>
        </w:rPr>
        <w:t xml:space="preserve">, </w:t>
      </w:r>
      <w:r w:rsidRPr="00464961">
        <w:rPr>
          <w:rFonts w:ascii="Times New Roman" w:hAnsi="Times New Roman"/>
        </w:rPr>
        <w:t>56(1):81-96.</w:t>
      </w:r>
    </w:p>
    <w:p w:rsidR="00D430C4" w:rsidRPr="00464961" w:rsidRDefault="00D430C4" w:rsidP="00A9555E">
      <w:pPr>
        <w:spacing w:after="0" w:line="240" w:lineRule="auto"/>
        <w:ind w:left="720" w:hanging="720"/>
        <w:jc w:val="both"/>
        <w:rPr>
          <w:rFonts w:ascii="Times New Roman" w:hAnsi="Times New Roman"/>
        </w:rPr>
      </w:pPr>
      <w:proofErr w:type="spellStart"/>
      <w:r>
        <w:rPr>
          <w:rFonts w:ascii="Times New Roman" w:hAnsi="Times New Roman"/>
        </w:rPr>
        <w:t>Deshpande</w:t>
      </w:r>
      <w:proofErr w:type="spellEnd"/>
      <w:r>
        <w:rPr>
          <w:rFonts w:ascii="Times New Roman" w:hAnsi="Times New Roman"/>
        </w:rPr>
        <w:t xml:space="preserve">, A. </w:t>
      </w:r>
      <w:r w:rsidR="00A9555E">
        <w:rPr>
          <w:rFonts w:ascii="Times New Roman" w:hAnsi="Times New Roman"/>
        </w:rPr>
        <w:t>(</w:t>
      </w:r>
      <w:r w:rsidRPr="00464961">
        <w:rPr>
          <w:rFonts w:ascii="Times New Roman" w:hAnsi="Times New Roman"/>
        </w:rPr>
        <w:t>2002</w:t>
      </w:r>
      <w:r w:rsidR="00A9555E">
        <w:rPr>
          <w:rFonts w:ascii="Times New Roman" w:hAnsi="Times New Roman"/>
        </w:rPr>
        <w:t>):</w:t>
      </w:r>
      <w:r w:rsidRPr="00464961">
        <w:rPr>
          <w:rFonts w:ascii="Times New Roman" w:hAnsi="Times New Roman"/>
        </w:rPr>
        <w:t xml:space="preserve"> Does Caste Still Define Disparity?</w:t>
      </w:r>
      <w:r>
        <w:rPr>
          <w:rFonts w:ascii="Times New Roman" w:hAnsi="Times New Roman"/>
        </w:rPr>
        <w:t>,</w:t>
      </w:r>
      <w:r w:rsidRPr="00464961">
        <w:rPr>
          <w:rFonts w:ascii="Times New Roman" w:hAnsi="Times New Roman"/>
        </w:rPr>
        <w:t xml:space="preserve"> A Look at </w:t>
      </w:r>
      <w:r w:rsidR="007F3C67">
        <w:rPr>
          <w:rFonts w:ascii="Times New Roman" w:hAnsi="Times New Roman"/>
        </w:rPr>
        <w:t xml:space="preserve">Inequality in Kerala, India , </w:t>
      </w:r>
      <w:r w:rsidRPr="007F3C67">
        <w:rPr>
          <w:rFonts w:ascii="Times New Roman" w:hAnsi="Times New Roman"/>
          <w:i/>
        </w:rPr>
        <w:t>The American Economic Review,</w:t>
      </w:r>
      <w:r w:rsidRPr="00464961">
        <w:rPr>
          <w:rFonts w:ascii="Times New Roman" w:hAnsi="Times New Roman"/>
        </w:rPr>
        <w:t xml:space="preserve"> Vol. 90, No. 2, Papers and Proceedings of the One Hundred Twelfth Annual Meeting of the American Economic Association. </w:t>
      </w:r>
      <w:proofErr w:type="gramStart"/>
      <w:r w:rsidRPr="00464961">
        <w:rPr>
          <w:rFonts w:ascii="Times New Roman" w:hAnsi="Times New Roman"/>
        </w:rPr>
        <w:t>(May, 2000), pp. 322-325.</w:t>
      </w:r>
      <w:proofErr w:type="gramEnd"/>
      <w:r w:rsidRPr="00464961">
        <w:rPr>
          <w:rFonts w:ascii="Times New Roman" w:hAnsi="Times New Roman"/>
        </w:rPr>
        <w:t xml:space="preserve"> </w:t>
      </w:r>
    </w:p>
    <w:p w:rsidR="00D430C4" w:rsidRPr="00464961" w:rsidRDefault="00D430C4" w:rsidP="00A9555E">
      <w:pPr>
        <w:spacing w:after="0" w:line="240" w:lineRule="auto"/>
        <w:ind w:left="720" w:hanging="720"/>
        <w:jc w:val="both"/>
        <w:rPr>
          <w:rFonts w:ascii="Times New Roman" w:hAnsi="Times New Roman"/>
        </w:rPr>
      </w:pPr>
      <w:proofErr w:type="spellStart"/>
      <w:proofErr w:type="gramStart"/>
      <w:r>
        <w:rPr>
          <w:rFonts w:ascii="Times New Roman" w:hAnsi="Times New Roman"/>
        </w:rPr>
        <w:t>Filmer</w:t>
      </w:r>
      <w:proofErr w:type="spellEnd"/>
      <w:r>
        <w:rPr>
          <w:rFonts w:ascii="Times New Roman" w:hAnsi="Times New Roman"/>
        </w:rPr>
        <w:t xml:space="preserve">, </w:t>
      </w:r>
      <w:r w:rsidRPr="003724EF">
        <w:rPr>
          <w:rFonts w:ascii="Times New Roman" w:hAnsi="Times New Roman"/>
        </w:rPr>
        <w:t xml:space="preserve">D., and </w:t>
      </w:r>
      <w:r w:rsidRPr="00464961">
        <w:rPr>
          <w:rFonts w:ascii="Times New Roman" w:hAnsi="Times New Roman"/>
        </w:rPr>
        <w:t>L</w:t>
      </w:r>
      <w:r>
        <w:rPr>
          <w:rFonts w:ascii="Times New Roman" w:hAnsi="Times New Roman"/>
        </w:rPr>
        <w:t xml:space="preserve">. </w:t>
      </w:r>
      <w:r w:rsidRPr="003724EF">
        <w:rPr>
          <w:rFonts w:ascii="Times New Roman" w:hAnsi="Times New Roman"/>
        </w:rPr>
        <w:t>Pritchett</w:t>
      </w:r>
      <w:r w:rsidR="007F3C67">
        <w:rPr>
          <w:rFonts w:ascii="Times New Roman" w:hAnsi="Times New Roman"/>
        </w:rPr>
        <w:t>.</w:t>
      </w:r>
      <w:proofErr w:type="gramEnd"/>
      <w:r w:rsidR="007F3C67">
        <w:rPr>
          <w:rFonts w:ascii="Times New Roman" w:hAnsi="Times New Roman"/>
        </w:rPr>
        <w:t xml:space="preserve"> (1999):</w:t>
      </w:r>
      <w:r>
        <w:rPr>
          <w:rFonts w:ascii="Times New Roman" w:hAnsi="Times New Roman"/>
        </w:rPr>
        <w:t xml:space="preserve"> </w:t>
      </w:r>
      <w:r w:rsidRPr="00464961">
        <w:rPr>
          <w:rFonts w:ascii="Times New Roman" w:hAnsi="Times New Roman"/>
        </w:rPr>
        <w:t>'The Effect of Household Wealth on Educational Attainme</w:t>
      </w:r>
      <w:r>
        <w:rPr>
          <w:rFonts w:ascii="Times New Roman" w:hAnsi="Times New Roman"/>
        </w:rPr>
        <w:t>nt: Evidence from 35 Countries',</w:t>
      </w:r>
      <w:r w:rsidRPr="00464961">
        <w:rPr>
          <w:rFonts w:ascii="Times New Roman" w:hAnsi="Times New Roman"/>
        </w:rPr>
        <w:t xml:space="preserve"> </w:t>
      </w:r>
      <w:r w:rsidRPr="007F3C67">
        <w:rPr>
          <w:rFonts w:ascii="Times New Roman" w:hAnsi="Times New Roman"/>
          <w:i/>
        </w:rPr>
        <w:t>Population and Development Review</w:t>
      </w:r>
      <w:r w:rsidRPr="00464961">
        <w:rPr>
          <w:rFonts w:ascii="Times New Roman" w:hAnsi="Times New Roman"/>
        </w:rPr>
        <w:t xml:space="preserve"> 25(1): 85–120. </w:t>
      </w:r>
    </w:p>
    <w:p w:rsidR="00D430C4" w:rsidRPr="00464961" w:rsidRDefault="00D430C4" w:rsidP="00A9555E">
      <w:pPr>
        <w:spacing w:after="0" w:line="240" w:lineRule="auto"/>
        <w:ind w:left="720" w:hanging="720"/>
        <w:jc w:val="both"/>
        <w:rPr>
          <w:rFonts w:ascii="Times New Roman" w:hAnsi="Times New Roman"/>
        </w:rPr>
      </w:pPr>
      <w:proofErr w:type="spellStart"/>
      <w:r w:rsidRPr="00117C16">
        <w:rPr>
          <w:rFonts w:ascii="Times New Roman" w:hAnsi="Times New Roman"/>
        </w:rPr>
        <w:t>Jha</w:t>
      </w:r>
      <w:proofErr w:type="gramStart"/>
      <w:r w:rsidRPr="00117C16">
        <w:rPr>
          <w:rFonts w:ascii="Times New Roman" w:hAnsi="Times New Roman"/>
        </w:rPr>
        <w:t>,</w:t>
      </w:r>
      <w:r w:rsidRPr="00117C16">
        <w:rPr>
          <w:rFonts w:ascii="Times New Roman" w:hAnsi="Times New Roman"/>
          <w:iCs/>
        </w:rPr>
        <w:t>Raghbendra</w:t>
      </w:r>
      <w:proofErr w:type="spellEnd"/>
      <w:proofErr w:type="gramEnd"/>
      <w:r>
        <w:rPr>
          <w:rFonts w:ascii="Times New Roman" w:hAnsi="Times New Roman"/>
          <w:iCs/>
        </w:rPr>
        <w:t>.</w:t>
      </w:r>
      <w:r w:rsidRPr="00117C16">
        <w:rPr>
          <w:rFonts w:ascii="Times New Roman" w:hAnsi="Times New Roman"/>
        </w:rPr>
        <w:t xml:space="preserve">, </w:t>
      </w:r>
      <w:proofErr w:type="spellStart"/>
      <w:r w:rsidRPr="00117C16">
        <w:rPr>
          <w:rFonts w:ascii="Times New Roman" w:hAnsi="Times New Roman"/>
          <w:iCs/>
        </w:rPr>
        <w:t>Raghav</w:t>
      </w:r>
      <w:proofErr w:type="spellEnd"/>
      <w:r w:rsidRPr="00117C16">
        <w:rPr>
          <w:rFonts w:ascii="Times New Roman" w:hAnsi="Times New Roman"/>
          <w:iCs/>
        </w:rPr>
        <w:t xml:space="preserve"> </w:t>
      </w:r>
      <w:proofErr w:type="spellStart"/>
      <w:r w:rsidRPr="00117C16">
        <w:rPr>
          <w:rFonts w:ascii="Times New Roman" w:hAnsi="Times New Roman"/>
          <w:iCs/>
        </w:rPr>
        <w:t>Gaiha</w:t>
      </w:r>
      <w:proofErr w:type="spellEnd"/>
      <w:r w:rsidRPr="00117C16">
        <w:rPr>
          <w:rFonts w:ascii="Times New Roman" w:hAnsi="Times New Roman"/>
        </w:rPr>
        <w:t xml:space="preserve"> and </w:t>
      </w:r>
      <w:proofErr w:type="spellStart"/>
      <w:r>
        <w:rPr>
          <w:rFonts w:ascii="Times New Roman" w:hAnsi="Times New Roman"/>
          <w:iCs/>
        </w:rPr>
        <w:t>Anurag</w:t>
      </w:r>
      <w:proofErr w:type="spellEnd"/>
      <w:r>
        <w:rPr>
          <w:rFonts w:ascii="Times New Roman" w:hAnsi="Times New Roman"/>
          <w:iCs/>
        </w:rPr>
        <w:t xml:space="preserve"> Sharma. </w:t>
      </w:r>
      <w:r w:rsidR="007F3C67">
        <w:rPr>
          <w:rFonts w:ascii="Times New Roman" w:hAnsi="Times New Roman"/>
          <w:iCs/>
        </w:rPr>
        <w:t>(</w:t>
      </w:r>
      <w:r w:rsidRPr="00117C16">
        <w:rPr>
          <w:rFonts w:ascii="Times New Roman" w:hAnsi="Times New Roman"/>
        </w:rPr>
        <w:t>2007</w:t>
      </w:r>
      <w:r w:rsidR="007F3C67">
        <w:rPr>
          <w:rFonts w:ascii="Times New Roman" w:hAnsi="Times New Roman"/>
        </w:rPr>
        <w:t>):</w:t>
      </w:r>
      <w:r>
        <w:rPr>
          <w:rFonts w:ascii="Times New Roman" w:hAnsi="Times New Roman"/>
        </w:rPr>
        <w:t xml:space="preserve"> </w:t>
      </w:r>
      <w:r w:rsidR="007F3C67">
        <w:rPr>
          <w:rFonts w:ascii="Times New Roman" w:hAnsi="Times New Roman"/>
        </w:rPr>
        <w:t>‘</w:t>
      </w:r>
      <w:r w:rsidRPr="00464961">
        <w:rPr>
          <w:rFonts w:ascii="Times New Roman" w:hAnsi="Times New Roman"/>
        </w:rPr>
        <w:t>Mean Consumption, Poverty and Inequality in Rural India in the Sixtieth Round of the National Sample Survey,</w:t>
      </w:r>
      <w:r w:rsidR="007F3C67">
        <w:rPr>
          <w:rFonts w:ascii="Times New Roman" w:hAnsi="Times New Roman"/>
        </w:rPr>
        <w:t>’</w:t>
      </w:r>
      <w:r>
        <w:rPr>
          <w:rFonts w:ascii="Times New Roman" w:hAnsi="Times New Roman"/>
        </w:rPr>
        <w:t xml:space="preserve"> </w:t>
      </w:r>
      <w:r w:rsidRPr="007F3C67">
        <w:rPr>
          <w:rFonts w:ascii="Times New Roman" w:hAnsi="Times New Roman"/>
          <w:i/>
        </w:rPr>
        <w:t>Austral</w:t>
      </w:r>
      <w:r w:rsidR="007F3C67" w:rsidRPr="007F3C67">
        <w:rPr>
          <w:rFonts w:ascii="Times New Roman" w:hAnsi="Times New Roman"/>
          <w:i/>
        </w:rPr>
        <w:t xml:space="preserve">ia South Asia Research Centre, </w:t>
      </w:r>
      <w:r w:rsidRPr="007F3C67">
        <w:rPr>
          <w:rFonts w:ascii="Times New Roman" w:hAnsi="Times New Roman"/>
          <w:i/>
        </w:rPr>
        <w:t>Working Paper</w:t>
      </w:r>
      <w:r w:rsidR="007F3C67">
        <w:rPr>
          <w:rFonts w:ascii="Times New Roman" w:hAnsi="Times New Roman"/>
          <w:i/>
        </w:rPr>
        <w:t>,</w:t>
      </w:r>
      <w:r w:rsidRPr="00464961">
        <w:rPr>
          <w:rFonts w:ascii="Times New Roman" w:hAnsi="Times New Roman"/>
        </w:rPr>
        <w:t xml:space="preserve"> 2006/11.</w:t>
      </w:r>
    </w:p>
    <w:p w:rsidR="00D430C4" w:rsidRPr="00464961" w:rsidRDefault="00D430C4" w:rsidP="007F3C67">
      <w:pPr>
        <w:spacing w:after="0" w:line="240" w:lineRule="auto"/>
        <w:ind w:left="720" w:hanging="720"/>
        <w:jc w:val="both"/>
        <w:rPr>
          <w:rFonts w:ascii="Times New Roman" w:hAnsi="Times New Roman"/>
        </w:rPr>
      </w:pPr>
      <w:r>
        <w:rPr>
          <w:rFonts w:ascii="Times New Roman" w:hAnsi="Times New Roman"/>
        </w:rPr>
        <w:t xml:space="preserve">Jones, Richard C. </w:t>
      </w:r>
      <w:r w:rsidR="007F3C67">
        <w:rPr>
          <w:rFonts w:ascii="Times New Roman" w:hAnsi="Times New Roman"/>
        </w:rPr>
        <w:t>(</w:t>
      </w:r>
      <w:r>
        <w:rPr>
          <w:rFonts w:ascii="Times New Roman" w:hAnsi="Times New Roman"/>
        </w:rPr>
        <w:t>1998</w:t>
      </w:r>
      <w:r w:rsidR="007F3C67">
        <w:rPr>
          <w:rFonts w:ascii="Times New Roman" w:hAnsi="Times New Roman"/>
        </w:rPr>
        <w:t>):</w:t>
      </w:r>
      <w:r>
        <w:rPr>
          <w:rFonts w:ascii="Times New Roman" w:hAnsi="Times New Roman"/>
        </w:rPr>
        <w:t xml:space="preserve"> </w:t>
      </w:r>
      <w:r w:rsidR="007F3C67">
        <w:rPr>
          <w:rFonts w:ascii="Times New Roman" w:hAnsi="Times New Roman"/>
        </w:rPr>
        <w:t>‘</w:t>
      </w:r>
      <w:r w:rsidRPr="00464961">
        <w:rPr>
          <w:rFonts w:ascii="Times New Roman" w:hAnsi="Times New Roman"/>
        </w:rPr>
        <w:t>Remittances and Inequality: A Question of Migration Stage and Geographic Scale,</w:t>
      </w:r>
      <w:r w:rsidR="007F3C67">
        <w:rPr>
          <w:rFonts w:ascii="Times New Roman" w:hAnsi="Times New Roman"/>
        </w:rPr>
        <w:t>’</w:t>
      </w:r>
      <w:r w:rsidRPr="00464961">
        <w:rPr>
          <w:rFonts w:ascii="Times New Roman" w:hAnsi="Times New Roman"/>
        </w:rPr>
        <w:t xml:space="preserve"> </w:t>
      </w:r>
      <w:r w:rsidRPr="007F3C67">
        <w:rPr>
          <w:rFonts w:ascii="Times New Roman" w:hAnsi="Times New Roman"/>
          <w:i/>
        </w:rPr>
        <w:t>Economic Geography</w:t>
      </w:r>
      <w:r w:rsidRPr="00464961">
        <w:rPr>
          <w:rFonts w:ascii="Times New Roman" w:hAnsi="Times New Roman"/>
        </w:rPr>
        <w:t>, 74(1):8–25.</w:t>
      </w:r>
    </w:p>
    <w:p w:rsidR="00D430C4" w:rsidRDefault="00D430C4" w:rsidP="007F3C67">
      <w:pPr>
        <w:spacing w:after="0" w:line="240" w:lineRule="auto"/>
        <w:ind w:left="720" w:hanging="720"/>
        <w:jc w:val="both"/>
        <w:rPr>
          <w:rFonts w:ascii="Times New Roman" w:hAnsi="Times New Roman"/>
        </w:rPr>
      </w:pPr>
      <w:r>
        <w:rPr>
          <w:rFonts w:ascii="Times New Roman" w:hAnsi="Times New Roman"/>
        </w:rPr>
        <w:t xml:space="preserve">King, M. </w:t>
      </w:r>
      <w:r w:rsidR="007F3C67">
        <w:rPr>
          <w:rFonts w:ascii="Times New Roman" w:hAnsi="Times New Roman"/>
        </w:rPr>
        <w:t>(</w:t>
      </w:r>
      <w:r>
        <w:rPr>
          <w:rFonts w:ascii="Times New Roman" w:hAnsi="Times New Roman"/>
        </w:rPr>
        <w:t>1983</w:t>
      </w:r>
      <w:r w:rsidR="007F3C67">
        <w:rPr>
          <w:rFonts w:ascii="Times New Roman" w:hAnsi="Times New Roman"/>
        </w:rPr>
        <w:t>):</w:t>
      </w:r>
      <w:r w:rsidRPr="00464961">
        <w:rPr>
          <w:rFonts w:ascii="Times New Roman" w:hAnsi="Times New Roman"/>
        </w:rPr>
        <w:t xml:space="preserve"> </w:t>
      </w:r>
      <w:r w:rsidR="007F3C67">
        <w:rPr>
          <w:rFonts w:ascii="Times New Roman" w:hAnsi="Times New Roman"/>
        </w:rPr>
        <w:t>‘</w:t>
      </w:r>
      <w:r w:rsidRPr="00464961">
        <w:rPr>
          <w:rFonts w:ascii="Times New Roman" w:hAnsi="Times New Roman"/>
        </w:rPr>
        <w:t>An index of inequality, with applications to horizo</w:t>
      </w:r>
      <w:r>
        <w:rPr>
          <w:rFonts w:ascii="Times New Roman" w:hAnsi="Times New Roman"/>
        </w:rPr>
        <w:t>ntal equity and social mobility</w:t>
      </w:r>
      <w:r w:rsidR="007F3C67">
        <w:rPr>
          <w:rFonts w:ascii="Times New Roman" w:hAnsi="Times New Roman"/>
        </w:rPr>
        <w:t>’</w:t>
      </w:r>
      <w:r>
        <w:rPr>
          <w:rFonts w:ascii="Times New Roman" w:hAnsi="Times New Roman"/>
        </w:rPr>
        <w:t>,</w:t>
      </w:r>
      <w:r w:rsidRPr="00464961">
        <w:rPr>
          <w:rFonts w:ascii="Times New Roman" w:hAnsi="Times New Roman"/>
        </w:rPr>
        <w:t xml:space="preserve"> </w:t>
      </w:r>
      <w:proofErr w:type="spellStart"/>
      <w:r w:rsidRPr="007F3C67">
        <w:rPr>
          <w:rFonts w:ascii="Times New Roman" w:hAnsi="Times New Roman"/>
          <w:i/>
        </w:rPr>
        <w:t>Econometrica</w:t>
      </w:r>
      <w:proofErr w:type="spellEnd"/>
      <w:r>
        <w:rPr>
          <w:rFonts w:ascii="Times New Roman" w:hAnsi="Times New Roman"/>
        </w:rPr>
        <w:t>,</w:t>
      </w:r>
      <w:r w:rsidRPr="00464961">
        <w:rPr>
          <w:rFonts w:ascii="Times New Roman" w:hAnsi="Times New Roman"/>
        </w:rPr>
        <w:t xml:space="preserve"> 51, 99–115.</w:t>
      </w:r>
    </w:p>
    <w:p w:rsidR="00D430C4" w:rsidRPr="00464961" w:rsidRDefault="007F3C67" w:rsidP="007F3C67">
      <w:pPr>
        <w:spacing w:after="0" w:line="240" w:lineRule="auto"/>
        <w:ind w:left="720" w:hanging="720"/>
        <w:jc w:val="both"/>
        <w:rPr>
          <w:rFonts w:ascii="Times New Roman" w:hAnsi="Times New Roman"/>
        </w:rPr>
      </w:pPr>
      <w:proofErr w:type="spellStart"/>
      <w:r>
        <w:rPr>
          <w:rFonts w:ascii="Times New Roman" w:hAnsi="Times New Roman"/>
        </w:rPr>
        <w:t>Koechlin</w:t>
      </w:r>
      <w:proofErr w:type="spellEnd"/>
      <w:r>
        <w:rPr>
          <w:rFonts w:ascii="Times New Roman" w:hAnsi="Times New Roman"/>
        </w:rPr>
        <w:t>, V. and Leon, G. (2006):</w:t>
      </w:r>
      <w:r w:rsidR="00D430C4">
        <w:rPr>
          <w:rFonts w:ascii="Times New Roman" w:hAnsi="Times New Roman"/>
        </w:rPr>
        <w:t xml:space="preserve"> ‘</w:t>
      </w:r>
      <w:r w:rsidR="00D430C4" w:rsidRPr="00464961">
        <w:rPr>
          <w:rFonts w:ascii="Times New Roman" w:hAnsi="Times New Roman"/>
        </w:rPr>
        <w:t xml:space="preserve">International Remittances and Income </w:t>
      </w:r>
      <w:r w:rsidR="00D430C4" w:rsidRPr="00464961">
        <w:rPr>
          <w:rFonts w:ascii="Times New Roman" w:hAnsi="Times New Roman"/>
        </w:rPr>
        <w:lastRenderedPageBreak/>
        <w:t>Inequal</w:t>
      </w:r>
      <w:r w:rsidR="00D430C4">
        <w:rPr>
          <w:rFonts w:ascii="Times New Roman" w:hAnsi="Times New Roman"/>
        </w:rPr>
        <w:t>ity: An Empirical Investigation’</w:t>
      </w:r>
      <w:r w:rsidR="00D430C4" w:rsidRPr="00464961">
        <w:rPr>
          <w:rFonts w:ascii="Times New Roman" w:hAnsi="Times New Roman"/>
        </w:rPr>
        <w:t xml:space="preserve">, </w:t>
      </w:r>
      <w:r w:rsidR="00D430C4" w:rsidRPr="007F3C67">
        <w:rPr>
          <w:rFonts w:ascii="Times New Roman" w:hAnsi="Times New Roman"/>
          <w:i/>
        </w:rPr>
        <w:t>RES working papers</w:t>
      </w:r>
      <w:r w:rsidR="00D430C4" w:rsidRPr="00464961">
        <w:rPr>
          <w:rFonts w:ascii="Times New Roman" w:hAnsi="Times New Roman"/>
        </w:rPr>
        <w:t xml:space="preserve">, 1023.  </w:t>
      </w:r>
    </w:p>
    <w:p w:rsidR="00D430C4" w:rsidRPr="00464961" w:rsidRDefault="00D430C4" w:rsidP="007F3C67">
      <w:pPr>
        <w:spacing w:after="0" w:line="240" w:lineRule="auto"/>
        <w:ind w:left="720" w:hanging="720"/>
        <w:rPr>
          <w:rFonts w:ascii="Times New Roman" w:hAnsi="Times New Roman"/>
        </w:rPr>
      </w:pPr>
      <w:proofErr w:type="spellStart"/>
      <w:r w:rsidRPr="000850DE">
        <w:rPr>
          <w:rStyle w:val="Emphasis"/>
          <w:rFonts w:ascii="Times New Roman" w:hAnsi="Times New Roman"/>
        </w:rPr>
        <w:t>Lerman</w:t>
      </w:r>
      <w:proofErr w:type="spellEnd"/>
      <w:r w:rsidRPr="000850DE">
        <w:rPr>
          <w:rFonts w:ascii="Times New Roman" w:hAnsi="Times New Roman"/>
          <w:i/>
        </w:rPr>
        <w:t xml:space="preserve">, </w:t>
      </w:r>
      <w:r w:rsidRPr="000850DE">
        <w:rPr>
          <w:rFonts w:ascii="Times New Roman" w:hAnsi="Times New Roman"/>
        </w:rPr>
        <w:t xml:space="preserve">Robert I </w:t>
      </w:r>
      <w:proofErr w:type="gramStart"/>
      <w:r w:rsidRPr="000850DE">
        <w:rPr>
          <w:rFonts w:ascii="Times New Roman" w:hAnsi="Times New Roman"/>
        </w:rPr>
        <w:t xml:space="preserve">and  </w:t>
      </w:r>
      <w:proofErr w:type="spellStart"/>
      <w:r w:rsidRPr="000850DE">
        <w:rPr>
          <w:rFonts w:ascii="Times New Roman" w:hAnsi="Times New Roman"/>
        </w:rPr>
        <w:t>Shlomo</w:t>
      </w:r>
      <w:proofErr w:type="spellEnd"/>
      <w:proofErr w:type="gramEnd"/>
      <w:r w:rsidRPr="000850DE">
        <w:rPr>
          <w:rStyle w:val="Emphasis"/>
          <w:rFonts w:ascii="Times New Roman" w:hAnsi="Times New Roman"/>
        </w:rPr>
        <w:t xml:space="preserve"> </w:t>
      </w:r>
      <w:proofErr w:type="spellStart"/>
      <w:r w:rsidRPr="000850DE">
        <w:rPr>
          <w:rStyle w:val="Emphasis"/>
          <w:rFonts w:ascii="Times New Roman" w:hAnsi="Times New Roman"/>
        </w:rPr>
        <w:t>Yitzhaki</w:t>
      </w:r>
      <w:proofErr w:type="spellEnd"/>
      <w:r>
        <w:rPr>
          <w:rFonts w:ascii="Times New Roman" w:hAnsi="Times New Roman"/>
        </w:rPr>
        <w:t>.</w:t>
      </w:r>
      <w:r w:rsidRPr="00464961">
        <w:rPr>
          <w:rFonts w:ascii="Times New Roman" w:hAnsi="Times New Roman"/>
        </w:rPr>
        <w:t xml:space="preserve"> </w:t>
      </w:r>
      <w:r w:rsidR="007F3C67">
        <w:rPr>
          <w:rFonts w:ascii="Times New Roman" w:hAnsi="Times New Roman"/>
        </w:rPr>
        <w:t>(</w:t>
      </w:r>
      <w:r w:rsidRPr="00464961">
        <w:rPr>
          <w:rStyle w:val="Emphasis"/>
          <w:rFonts w:ascii="Times New Roman" w:hAnsi="Times New Roman"/>
        </w:rPr>
        <w:t>1985</w:t>
      </w:r>
      <w:r w:rsidR="007F3C67">
        <w:rPr>
          <w:rFonts w:ascii="Times New Roman" w:hAnsi="Times New Roman"/>
        </w:rPr>
        <w:t>):</w:t>
      </w:r>
      <w:r>
        <w:rPr>
          <w:rFonts w:ascii="Times New Roman" w:hAnsi="Times New Roman"/>
        </w:rPr>
        <w:t xml:space="preserve"> ‘</w:t>
      </w:r>
      <w:r w:rsidRPr="00464961">
        <w:rPr>
          <w:rFonts w:ascii="Times New Roman" w:hAnsi="Times New Roman"/>
        </w:rPr>
        <w:t>Incom</w:t>
      </w:r>
      <w:r>
        <w:rPr>
          <w:rFonts w:ascii="Times New Roman" w:hAnsi="Times New Roman"/>
        </w:rPr>
        <w:t>e Inequality Effects by Income’,</w:t>
      </w:r>
      <w:r w:rsidRPr="00464961">
        <w:rPr>
          <w:rFonts w:ascii="Times New Roman" w:hAnsi="Times New Roman"/>
        </w:rPr>
        <w:t xml:space="preserve"> </w:t>
      </w:r>
      <w:r w:rsidRPr="007F3C67">
        <w:rPr>
          <w:rFonts w:ascii="Times New Roman" w:hAnsi="Times New Roman"/>
          <w:i/>
        </w:rPr>
        <w:t>The Review of Economics and Statistics</w:t>
      </w:r>
      <w:r w:rsidRPr="00464961">
        <w:rPr>
          <w:rFonts w:ascii="Times New Roman" w:hAnsi="Times New Roman"/>
        </w:rPr>
        <w:t>, MIT Press, vol. 67(1), pages 151-56</w:t>
      </w:r>
    </w:p>
    <w:p w:rsidR="00D430C4" w:rsidRPr="00464961" w:rsidRDefault="00D430C4" w:rsidP="007F3C67">
      <w:pPr>
        <w:spacing w:after="0" w:line="240" w:lineRule="auto"/>
        <w:ind w:left="720" w:hanging="720"/>
        <w:jc w:val="both"/>
        <w:rPr>
          <w:rFonts w:ascii="Times New Roman" w:hAnsi="Times New Roman"/>
        </w:rPr>
      </w:pPr>
      <w:proofErr w:type="gramStart"/>
      <w:r w:rsidRPr="00464961">
        <w:rPr>
          <w:rFonts w:ascii="Times New Roman" w:hAnsi="Times New Roman"/>
        </w:rPr>
        <w:t xml:space="preserve">Massey, D.S., </w:t>
      </w:r>
      <w:r>
        <w:rPr>
          <w:rFonts w:ascii="Times New Roman" w:hAnsi="Times New Roman"/>
        </w:rPr>
        <w:t xml:space="preserve">L.P </w:t>
      </w:r>
      <w:proofErr w:type="spellStart"/>
      <w:r>
        <w:rPr>
          <w:rFonts w:ascii="Times New Roman" w:hAnsi="Times New Roman"/>
        </w:rPr>
        <w:t>Goldring</w:t>
      </w:r>
      <w:proofErr w:type="spellEnd"/>
      <w:r w:rsidRPr="00464961">
        <w:rPr>
          <w:rFonts w:ascii="Times New Roman" w:hAnsi="Times New Roman"/>
        </w:rPr>
        <w:t xml:space="preserve"> and J</w:t>
      </w:r>
      <w:r w:rsidRPr="0022541B">
        <w:rPr>
          <w:rFonts w:ascii="Times New Roman" w:hAnsi="Times New Roman"/>
        </w:rPr>
        <w:t xml:space="preserve"> </w:t>
      </w:r>
      <w:r>
        <w:rPr>
          <w:rFonts w:ascii="Times New Roman" w:hAnsi="Times New Roman"/>
        </w:rPr>
        <w:t>Durand.</w:t>
      </w:r>
      <w:proofErr w:type="gramEnd"/>
      <w:r>
        <w:rPr>
          <w:rFonts w:ascii="Times New Roman" w:hAnsi="Times New Roman"/>
        </w:rPr>
        <w:t xml:space="preserve"> </w:t>
      </w:r>
      <w:r w:rsidR="007F3C67">
        <w:rPr>
          <w:rFonts w:ascii="Times New Roman" w:hAnsi="Times New Roman"/>
        </w:rPr>
        <w:t>(1994):</w:t>
      </w:r>
      <w:r>
        <w:rPr>
          <w:rFonts w:ascii="Times New Roman" w:hAnsi="Times New Roman"/>
        </w:rPr>
        <w:t xml:space="preserve"> ‘</w:t>
      </w:r>
      <w:r w:rsidRPr="00464961">
        <w:rPr>
          <w:rFonts w:ascii="Times New Roman" w:hAnsi="Times New Roman"/>
        </w:rPr>
        <w:t>Continuities in transnational migration: An analysis of 19 Mexica</w:t>
      </w:r>
      <w:r>
        <w:rPr>
          <w:rFonts w:ascii="Times New Roman" w:hAnsi="Times New Roman"/>
        </w:rPr>
        <w:t>n communities’,</w:t>
      </w:r>
      <w:r w:rsidRPr="00464961">
        <w:rPr>
          <w:rFonts w:ascii="Times New Roman" w:hAnsi="Times New Roman"/>
        </w:rPr>
        <w:t xml:space="preserve"> </w:t>
      </w:r>
      <w:r w:rsidRPr="007F3C67">
        <w:rPr>
          <w:rFonts w:ascii="Times New Roman" w:hAnsi="Times New Roman"/>
          <w:i/>
        </w:rPr>
        <w:t>American Journal of Sociology</w:t>
      </w:r>
      <w:r w:rsidR="007F3C67">
        <w:rPr>
          <w:rFonts w:ascii="Times New Roman" w:hAnsi="Times New Roman"/>
        </w:rPr>
        <w:t>,</w:t>
      </w:r>
      <w:r w:rsidRPr="00464961">
        <w:rPr>
          <w:rFonts w:ascii="Times New Roman" w:hAnsi="Times New Roman"/>
        </w:rPr>
        <w:t xml:space="preserve"> 99:1492-1533.</w:t>
      </w:r>
    </w:p>
    <w:p w:rsidR="00D430C4" w:rsidRPr="00464961" w:rsidRDefault="00D430C4" w:rsidP="007F3C67">
      <w:pPr>
        <w:spacing w:after="0" w:line="240" w:lineRule="auto"/>
        <w:ind w:left="720" w:hanging="720"/>
        <w:jc w:val="both"/>
        <w:rPr>
          <w:rFonts w:ascii="Times New Roman" w:hAnsi="Times New Roman"/>
        </w:rPr>
      </w:pPr>
      <w:proofErr w:type="spellStart"/>
      <w:r w:rsidRPr="00891445">
        <w:rPr>
          <w:rFonts w:ascii="Times New Roman" w:hAnsi="Times New Roman"/>
        </w:rPr>
        <w:t>Mishra</w:t>
      </w:r>
      <w:proofErr w:type="gramStart"/>
      <w:r w:rsidRPr="00891445">
        <w:rPr>
          <w:rFonts w:ascii="Times New Roman" w:hAnsi="Times New Roman"/>
        </w:rPr>
        <w:t>,Padmaja</w:t>
      </w:r>
      <w:proofErr w:type="spellEnd"/>
      <w:proofErr w:type="gramEnd"/>
      <w:r w:rsidRPr="00891445">
        <w:rPr>
          <w:rFonts w:ascii="Times New Roman" w:hAnsi="Times New Roman"/>
        </w:rPr>
        <w:t xml:space="preserve"> and Ashok Parikh</w:t>
      </w:r>
      <w:r>
        <w:rPr>
          <w:rFonts w:ascii="Times New Roman" w:hAnsi="Times New Roman"/>
        </w:rPr>
        <w:t xml:space="preserve">. 1992. </w:t>
      </w:r>
      <w:r w:rsidRPr="00464961">
        <w:rPr>
          <w:rFonts w:ascii="Times New Roman" w:hAnsi="Times New Roman"/>
        </w:rPr>
        <w:t xml:space="preserve">Household consumer expenditure inequalities in India: A decomposition </w:t>
      </w:r>
      <w:proofErr w:type="spellStart"/>
      <w:r w:rsidRPr="00464961">
        <w:rPr>
          <w:rFonts w:ascii="Times New Roman" w:hAnsi="Times New Roman"/>
        </w:rPr>
        <w:t>analysis</w:t>
      </w:r>
      <w:proofErr w:type="gramStart"/>
      <w:r w:rsidRPr="00464961">
        <w:rPr>
          <w:rFonts w:ascii="Times New Roman" w:hAnsi="Times New Roman"/>
        </w:rPr>
        <w:t>,Review</w:t>
      </w:r>
      <w:proofErr w:type="spellEnd"/>
      <w:proofErr w:type="gramEnd"/>
      <w:r w:rsidRPr="00464961">
        <w:rPr>
          <w:rFonts w:ascii="Times New Roman" w:hAnsi="Times New Roman"/>
        </w:rPr>
        <w:t xml:space="preserve"> of Income and Wealth Series 38, Number 2, June 1992.</w:t>
      </w:r>
    </w:p>
    <w:p w:rsidR="00D430C4" w:rsidRPr="00464961" w:rsidRDefault="00D430C4" w:rsidP="007F3C67">
      <w:pPr>
        <w:spacing w:after="0" w:line="240" w:lineRule="auto"/>
        <w:ind w:left="720" w:hanging="720"/>
        <w:jc w:val="both"/>
        <w:rPr>
          <w:rFonts w:ascii="Times New Roman" w:hAnsi="Times New Roman"/>
        </w:rPr>
      </w:pPr>
      <w:proofErr w:type="gramStart"/>
      <w:r>
        <w:rPr>
          <w:rFonts w:ascii="Times New Roman" w:hAnsi="Times New Roman"/>
        </w:rPr>
        <w:t>Morris, S.</w:t>
      </w:r>
      <w:r w:rsidRPr="00464961">
        <w:rPr>
          <w:rFonts w:ascii="Times New Roman" w:hAnsi="Times New Roman"/>
        </w:rPr>
        <w:t>S., C</w:t>
      </w:r>
      <w:r>
        <w:rPr>
          <w:rFonts w:ascii="Times New Roman" w:hAnsi="Times New Roman"/>
        </w:rPr>
        <w:t xml:space="preserve">. </w:t>
      </w:r>
      <w:proofErr w:type="spellStart"/>
      <w:r w:rsidRPr="00464961">
        <w:rPr>
          <w:rFonts w:ascii="Times New Roman" w:hAnsi="Times New Roman"/>
        </w:rPr>
        <w:t>Calogero</w:t>
      </w:r>
      <w:proofErr w:type="spellEnd"/>
      <w:r w:rsidRPr="00464961">
        <w:rPr>
          <w:rFonts w:ascii="Times New Roman" w:hAnsi="Times New Roman"/>
        </w:rPr>
        <w:t>,</w:t>
      </w:r>
      <w:r>
        <w:rPr>
          <w:rFonts w:ascii="Times New Roman" w:hAnsi="Times New Roman"/>
        </w:rPr>
        <w:t xml:space="preserve"> </w:t>
      </w:r>
      <w:r w:rsidRPr="00464961">
        <w:rPr>
          <w:rFonts w:ascii="Times New Roman" w:hAnsi="Times New Roman"/>
        </w:rPr>
        <w:t>J</w:t>
      </w:r>
      <w:r>
        <w:rPr>
          <w:rFonts w:ascii="Times New Roman" w:hAnsi="Times New Roman"/>
        </w:rPr>
        <w:t xml:space="preserve">. </w:t>
      </w:r>
      <w:proofErr w:type="spellStart"/>
      <w:r w:rsidRPr="00464961">
        <w:rPr>
          <w:rFonts w:ascii="Times New Roman" w:hAnsi="Times New Roman"/>
        </w:rPr>
        <w:t>Hoddinot</w:t>
      </w:r>
      <w:proofErr w:type="spellEnd"/>
      <w:r w:rsidRPr="00464961">
        <w:rPr>
          <w:rFonts w:ascii="Times New Roman" w:hAnsi="Times New Roman"/>
        </w:rPr>
        <w:t xml:space="preserve"> and </w:t>
      </w:r>
      <w:r>
        <w:rPr>
          <w:rFonts w:ascii="Times New Roman" w:hAnsi="Times New Roman"/>
        </w:rPr>
        <w:t xml:space="preserve">L.J.M </w:t>
      </w:r>
      <w:proofErr w:type="spellStart"/>
      <w:r>
        <w:rPr>
          <w:rFonts w:ascii="Times New Roman" w:hAnsi="Times New Roman"/>
        </w:rPr>
        <w:t>Christiaensen</w:t>
      </w:r>
      <w:proofErr w:type="spellEnd"/>
      <w:r>
        <w:rPr>
          <w:rFonts w:ascii="Times New Roman" w:hAnsi="Times New Roman"/>
        </w:rPr>
        <w:t>.</w:t>
      </w:r>
      <w:proofErr w:type="gramEnd"/>
      <w:r>
        <w:rPr>
          <w:rFonts w:ascii="Times New Roman" w:hAnsi="Times New Roman"/>
        </w:rPr>
        <w:t xml:space="preserve"> </w:t>
      </w:r>
      <w:r w:rsidR="007F3C67">
        <w:rPr>
          <w:rFonts w:ascii="Times New Roman" w:hAnsi="Times New Roman"/>
        </w:rPr>
        <w:t>(2000): ‘</w:t>
      </w:r>
      <w:r w:rsidRPr="00464961">
        <w:rPr>
          <w:rFonts w:ascii="Times New Roman" w:hAnsi="Times New Roman"/>
        </w:rPr>
        <w:t>Validity of Rapid Estimates of Household Wealth and Income for</w:t>
      </w:r>
      <w:r>
        <w:rPr>
          <w:rFonts w:ascii="Times New Roman" w:hAnsi="Times New Roman"/>
        </w:rPr>
        <w:t xml:space="preserve"> Health Surveys in Rural Africa</w:t>
      </w:r>
      <w:r w:rsidRPr="00464961">
        <w:rPr>
          <w:rFonts w:ascii="Times New Roman" w:hAnsi="Times New Roman"/>
        </w:rPr>
        <w:t>,</w:t>
      </w:r>
      <w:r w:rsidR="007F3C67">
        <w:rPr>
          <w:rFonts w:ascii="Times New Roman" w:hAnsi="Times New Roman"/>
        </w:rPr>
        <w:t>’</w:t>
      </w:r>
      <w:r>
        <w:rPr>
          <w:rFonts w:ascii="Times New Roman" w:hAnsi="Times New Roman"/>
        </w:rPr>
        <w:t xml:space="preserve"> </w:t>
      </w:r>
      <w:r w:rsidRPr="007F3C67">
        <w:rPr>
          <w:rFonts w:ascii="Times New Roman" w:hAnsi="Times New Roman"/>
          <w:i/>
        </w:rPr>
        <w:t>Journal of Epidemiology and Community Health</w:t>
      </w:r>
      <w:r w:rsidR="007F3C67">
        <w:rPr>
          <w:rFonts w:ascii="Times New Roman" w:hAnsi="Times New Roman"/>
        </w:rPr>
        <w:t>,</w:t>
      </w:r>
      <w:r w:rsidRPr="007F3C67">
        <w:rPr>
          <w:rFonts w:ascii="Times New Roman" w:hAnsi="Times New Roman"/>
        </w:rPr>
        <w:t xml:space="preserve"> </w:t>
      </w:r>
      <w:r w:rsidRPr="00464961">
        <w:rPr>
          <w:rFonts w:ascii="Times New Roman" w:hAnsi="Times New Roman"/>
        </w:rPr>
        <w:t xml:space="preserve">54: 381–87. </w:t>
      </w:r>
    </w:p>
    <w:p w:rsidR="00D430C4" w:rsidRDefault="00D430C4" w:rsidP="007F3C67">
      <w:pPr>
        <w:spacing w:after="0" w:line="240" w:lineRule="auto"/>
        <w:ind w:left="720" w:hanging="720"/>
        <w:jc w:val="both"/>
        <w:rPr>
          <w:rFonts w:ascii="Times New Roman" w:hAnsi="Times New Roman"/>
        </w:rPr>
      </w:pPr>
      <w:proofErr w:type="spellStart"/>
      <w:r w:rsidRPr="00464961">
        <w:rPr>
          <w:rFonts w:ascii="Times New Roman" w:hAnsi="Times New Roman"/>
        </w:rPr>
        <w:t>Pal</w:t>
      </w:r>
      <w:proofErr w:type="gramStart"/>
      <w:r>
        <w:rPr>
          <w:rFonts w:ascii="Times New Roman" w:hAnsi="Times New Roman"/>
        </w:rPr>
        <w:t>,</w:t>
      </w:r>
      <w:r w:rsidRPr="0029101E">
        <w:rPr>
          <w:rFonts w:ascii="Times New Roman" w:hAnsi="Times New Roman"/>
        </w:rPr>
        <w:t>Parthapratim</w:t>
      </w:r>
      <w:proofErr w:type="spellEnd"/>
      <w:proofErr w:type="gramEnd"/>
      <w:r w:rsidRPr="00464961">
        <w:rPr>
          <w:rFonts w:ascii="Times New Roman" w:hAnsi="Times New Roman"/>
        </w:rPr>
        <w:t xml:space="preserve"> and </w:t>
      </w:r>
      <w:proofErr w:type="spellStart"/>
      <w:r w:rsidRPr="0029101E">
        <w:rPr>
          <w:rFonts w:ascii="Times New Roman" w:hAnsi="Times New Roman"/>
        </w:rPr>
        <w:t>Jayati</w:t>
      </w:r>
      <w:proofErr w:type="spellEnd"/>
      <w:r>
        <w:rPr>
          <w:rFonts w:ascii="Times New Roman" w:hAnsi="Times New Roman"/>
        </w:rPr>
        <w:t xml:space="preserve"> </w:t>
      </w:r>
      <w:proofErr w:type="spellStart"/>
      <w:r w:rsidRPr="00464961">
        <w:rPr>
          <w:rFonts w:ascii="Times New Roman" w:hAnsi="Times New Roman"/>
        </w:rPr>
        <w:t>Ghosh</w:t>
      </w:r>
      <w:proofErr w:type="spellEnd"/>
      <w:r>
        <w:rPr>
          <w:rFonts w:ascii="Times New Roman" w:hAnsi="Times New Roman"/>
        </w:rPr>
        <w:t xml:space="preserve">. </w:t>
      </w:r>
      <w:r w:rsidR="007F3C67">
        <w:rPr>
          <w:rFonts w:ascii="Times New Roman" w:hAnsi="Times New Roman"/>
        </w:rPr>
        <w:t>(</w:t>
      </w:r>
      <w:r w:rsidRPr="00464961">
        <w:rPr>
          <w:rFonts w:ascii="Times New Roman" w:hAnsi="Times New Roman"/>
        </w:rPr>
        <w:t>2007</w:t>
      </w:r>
      <w:r w:rsidR="007F3C67">
        <w:rPr>
          <w:rFonts w:ascii="Times New Roman" w:hAnsi="Times New Roman"/>
        </w:rPr>
        <w:t>):</w:t>
      </w:r>
      <w:r>
        <w:rPr>
          <w:rFonts w:ascii="Times New Roman" w:hAnsi="Times New Roman"/>
        </w:rPr>
        <w:t xml:space="preserve"> </w:t>
      </w:r>
      <w:r w:rsidR="007F3C67">
        <w:rPr>
          <w:rFonts w:ascii="Times New Roman" w:hAnsi="Times New Roman"/>
        </w:rPr>
        <w:t>‘</w:t>
      </w:r>
      <w:r w:rsidRPr="00464961">
        <w:rPr>
          <w:rFonts w:ascii="Times New Roman" w:hAnsi="Times New Roman"/>
        </w:rPr>
        <w:t>Inequality in India: A survey of recent trends,</w:t>
      </w:r>
      <w:r w:rsidR="007F3C67">
        <w:rPr>
          <w:rFonts w:ascii="Times New Roman" w:hAnsi="Times New Roman"/>
        </w:rPr>
        <w:t>’</w:t>
      </w:r>
      <w:r>
        <w:rPr>
          <w:rFonts w:ascii="Times New Roman" w:hAnsi="Times New Roman"/>
        </w:rPr>
        <w:t xml:space="preserve"> </w:t>
      </w:r>
      <w:r w:rsidRPr="00464961">
        <w:rPr>
          <w:rFonts w:ascii="Times New Roman" w:hAnsi="Times New Roman"/>
        </w:rPr>
        <w:t>DESA Working Paper No. 45.</w:t>
      </w:r>
    </w:p>
    <w:p w:rsidR="00D430C4" w:rsidRDefault="00D430C4" w:rsidP="007F3C67">
      <w:pPr>
        <w:spacing w:after="0" w:line="240" w:lineRule="auto"/>
        <w:ind w:left="720" w:hanging="720"/>
        <w:jc w:val="both"/>
        <w:rPr>
          <w:rFonts w:ascii="Times New Roman" w:hAnsi="Times New Roman"/>
        </w:rPr>
      </w:pPr>
      <w:proofErr w:type="spellStart"/>
      <w:r>
        <w:rPr>
          <w:rFonts w:ascii="Times New Roman" w:hAnsi="Times New Roman"/>
        </w:rPr>
        <w:t>Pernia</w:t>
      </w:r>
      <w:proofErr w:type="spellEnd"/>
      <w:r>
        <w:rPr>
          <w:rFonts w:ascii="Times New Roman" w:hAnsi="Times New Roman"/>
        </w:rPr>
        <w:t>,</w:t>
      </w:r>
      <w:r w:rsidRPr="00463094">
        <w:rPr>
          <w:rFonts w:ascii="Times New Roman" w:hAnsi="Times New Roman"/>
        </w:rPr>
        <w:t xml:space="preserve"> </w:t>
      </w:r>
      <w:r>
        <w:rPr>
          <w:rFonts w:ascii="Times New Roman" w:hAnsi="Times New Roman"/>
        </w:rPr>
        <w:t xml:space="preserve">Ernesto M.  </w:t>
      </w:r>
      <w:proofErr w:type="gramStart"/>
      <w:r>
        <w:rPr>
          <w:rFonts w:ascii="Times New Roman" w:hAnsi="Times New Roman"/>
        </w:rPr>
        <w:t>a</w:t>
      </w:r>
      <w:r w:rsidRPr="00463094">
        <w:rPr>
          <w:rFonts w:ascii="Times New Roman" w:hAnsi="Times New Roman"/>
        </w:rPr>
        <w:t>nd</w:t>
      </w:r>
      <w:proofErr w:type="gramEnd"/>
      <w:r w:rsidRPr="00463094">
        <w:rPr>
          <w:rFonts w:ascii="Times New Roman" w:hAnsi="Times New Roman"/>
        </w:rPr>
        <w:t xml:space="preserve"> J. M. Ian S Salas.</w:t>
      </w:r>
      <w:r>
        <w:rPr>
          <w:rFonts w:ascii="Times New Roman" w:hAnsi="Times New Roman"/>
        </w:rPr>
        <w:t xml:space="preserve"> </w:t>
      </w:r>
      <w:r w:rsidR="007F3C67">
        <w:rPr>
          <w:rFonts w:ascii="Times New Roman" w:hAnsi="Times New Roman"/>
        </w:rPr>
        <w:t>(2005):</w:t>
      </w:r>
      <w:r>
        <w:rPr>
          <w:rFonts w:ascii="Times New Roman" w:hAnsi="Times New Roman"/>
        </w:rPr>
        <w:t xml:space="preserve"> </w:t>
      </w:r>
      <w:r w:rsidR="007F3C67">
        <w:rPr>
          <w:rFonts w:ascii="Times New Roman" w:hAnsi="Times New Roman"/>
        </w:rPr>
        <w:t>‘</w:t>
      </w:r>
      <w:r w:rsidRPr="00464961">
        <w:rPr>
          <w:rFonts w:ascii="Times New Roman" w:hAnsi="Times New Roman"/>
        </w:rPr>
        <w:t>Investment Climate, Productivity, and Regional Develo</w:t>
      </w:r>
      <w:r>
        <w:rPr>
          <w:rFonts w:ascii="Times New Roman" w:hAnsi="Times New Roman"/>
        </w:rPr>
        <w:t>pment in a Developing Country,</w:t>
      </w:r>
      <w:r w:rsidR="007F3C67">
        <w:rPr>
          <w:rFonts w:ascii="Times New Roman" w:hAnsi="Times New Roman"/>
        </w:rPr>
        <w:t>’</w:t>
      </w:r>
      <w:r>
        <w:rPr>
          <w:rFonts w:ascii="Times New Roman" w:hAnsi="Times New Roman"/>
        </w:rPr>
        <w:t xml:space="preserve"> </w:t>
      </w:r>
      <w:r w:rsidRPr="007F3C67">
        <w:rPr>
          <w:rFonts w:ascii="Times New Roman" w:hAnsi="Times New Roman"/>
          <w:i/>
        </w:rPr>
        <w:t>Asian Development Review</w:t>
      </w:r>
      <w:r w:rsidR="007F3C67">
        <w:rPr>
          <w:rFonts w:ascii="Times New Roman" w:hAnsi="Times New Roman"/>
        </w:rPr>
        <w:t>,</w:t>
      </w:r>
      <w:r w:rsidRPr="00464961">
        <w:rPr>
          <w:rFonts w:ascii="Times New Roman" w:hAnsi="Times New Roman"/>
        </w:rPr>
        <w:t xml:space="preserve"> 23 (2): 70-89. </w:t>
      </w:r>
    </w:p>
    <w:p w:rsidR="00D430C4" w:rsidRPr="00464961" w:rsidRDefault="007F3C67" w:rsidP="007F3C67">
      <w:pPr>
        <w:spacing w:after="0" w:line="240" w:lineRule="auto"/>
        <w:ind w:left="720" w:hanging="720"/>
        <w:jc w:val="both"/>
        <w:rPr>
          <w:rFonts w:ascii="Times New Roman" w:hAnsi="Times New Roman"/>
        </w:rPr>
      </w:pPr>
      <w:proofErr w:type="spellStart"/>
      <w:r>
        <w:rPr>
          <w:rFonts w:ascii="Times New Roman" w:hAnsi="Times New Roman"/>
        </w:rPr>
        <w:t>Pernia</w:t>
      </w:r>
      <w:proofErr w:type="gramStart"/>
      <w:r>
        <w:rPr>
          <w:rFonts w:ascii="Times New Roman" w:hAnsi="Times New Roman"/>
        </w:rPr>
        <w:t>,E</w:t>
      </w:r>
      <w:proofErr w:type="spellEnd"/>
      <w:proofErr w:type="gramEnd"/>
      <w:r>
        <w:rPr>
          <w:rFonts w:ascii="Times New Roman" w:hAnsi="Times New Roman"/>
        </w:rPr>
        <w:t>. (2008):</w:t>
      </w:r>
      <w:r w:rsidR="00D430C4">
        <w:rPr>
          <w:rFonts w:ascii="Times New Roman" w:hAnsi="Times New Roman"/>
        </w:rPr>
        <w:t xml:space="preserve"> </w:t>
      </w:r>
      <w:r>
        <w:rPr>
          <w:rFonts w:ascii="Times New Roman" w:hAnsi="Times New Roman"/>
        </w:rPr>
        <w:t>‘</w:t>
      </w:r>
      <w:r w:rsidR="00D430C4" w:rsidRPr="00464961">
        <w:rPr>
          <w:rFonts w:ascii="Times New Roman" w:hAnsi="Times New Roman"/>
        </w:rPr>
        <w:t>Migration, Remittances, Poverty and Inequality: The Philippines,</w:t>
      </w:r>
      <w:r>
        <w:rPr>
          <w:rFonts w:ascii="Times New Roman" w:hAnsi="Times New Roman"/>
        </w:rPr>
        <w:t>’</w:t>
      </w:r>
      <w:r w:rsidR="00D430C4">
        <w:rPr>
          <w:rFonts w:ascii="Times New Roman" w:hAnsi="Times New Roman"/>
        </w:rPr>
        <w:t xml:space="preserve"> </w:t>
      </w:r>
      <w:r w:rsidR="00D430C4" w:rsidRPr="007F3C67">
        <w:rPr>
          <w:rFonts w:ascii="Times New Roman" w:hAnsi="Times New Roman"/>
          <w:i/>
        </w:rPr>
        <w:t>UPSE Discussion Paper No. 0801.</w:t>
      </w:r>
    </w:p>
    <w:p w:rsidR="00D430C4" w:rsidRPr="00464961" w:rsidRDefault="00D430C4" w:rsidP="007F3C67">
      <w:pPr>
        <w:spacing w:after="0" w:line="240" w:lineRule="auto"/>
        <w:ind w:left="720" w:hanging="720"/>
        <w:jc w:val="both"/>
        <w:rPr>
          <w:rFonts w:ascii="Times New Roman" w:hAnsi="Times New Roman"/>
        </w:rPr>
      </w:pPr>
      <w:proofErr w:type="spellStart"/>
      <w:proofErr w:type="gramStart"/>
      <w:r w:rsidRPr="001F703E">
        <w:rPr>
          <w:rFonts w:ascii="Times New Roman" w:hAnsi="Times New Roman"/>
        </w:rPr>
        <w:t>Porte</w:t>
      </w:r>
      <w:r w:rsidR="007F3C67">
        <w:rPr>
          <w:rFonts w:ascii="Times New Roman" w:hAnsi="Times New Roman"/>
        </w:rPr>
        <w:t>s</w:t>
      </w:r>
      <w:proofErr w:type="spellEnd"/>
      <w:r w:rsidR="007F3C67">
        <w:rPr>
          <w:rFonts w:ascii="Times New Roman" w:hAnsi="Times New Roman"/>
        </w:rPr>
        <w:t xml:space="preserve">, A. and R.G </w:t>
      </w:r>
      <w:proofErr w:type="spellStart"/>
      <w:r w:rsidR="007F3C67">
        <w:rPr>
          <w:rFonts w:ascii="Times New Roman" w:hAnsi="Times New Roman"/>
        </w:rPr>
        <w:t>Rumbaut</w:t>
      </w:r>
      <w:proofErr w:type="spellEnd"/>
      <w:r w:rsidR="007F3C67">
        <w:rPr>
          <w:rFonts w:ascii="Times New Roman" w:hAnsi="Times New Roman"/>
        </w:rPr>
        <w:t>.</w:t>
      </w:r>
      <w:proofErr w:type="gramEnd"/>
      <w:r w:rsidR="007F3C67">
        <w:rPr>
          <w:rFonts w:ascii="Times New Roman" w:hAnsi="Times New Roman"/>
        </w:rPr>
        <w:t xml:space="preserve"> (1990):</w:t>
      </w:r>
      <w:r>
        <w:rPr>
          <w:rFonts w:ascii="Times New Roman" w:hAnsi="Times New Roman"/>
        </w:rPr>
        <w:t xml:space="preserve"> </w:t>
      </w:r>
      <w:r w:rsidR="007F3C67">
        <w:rPr>
          <w:rFonts w:ascii="Times New Roman" w:hAnsi="Times New Roman"/>
        </w:rPr>
        <w:t>‘</w:t>
      </w:r>
      <w:r w:rsidRPr="00464961">
        <w:rPr>
          <w:rFonts w:ascii="Times New Roman" w:hAnsi="Times New Roman"/>
        </w:rPr>
        <w:t>Immigrant America: A portrait,</w:t>
      </w:r>
      <w:r w:rsidR="007F3C67">
        <w:rPr>
          <w:rFonts w:ascii="Times New Roman" w:hAnsi="Times New Roman"/>
        </w:rPr>
        <w:t>’</w:t>
      </w:r>
      <w:r w:rsidRPr="00464961">
        <w:rPr>
          <w:rFonts w:ascii="Times New Roman" w:hAnsi="Times New Roman"/>
        </w:rPr>
        <w:t xml:space="preserve"> </w:t>
      </w:r>
      <w:r w:rsidRPr="007F3C67">
        <w:rPr>
          <w:rFonts w:ascii="Times New Roman" w:hAnsi="Times New Roman"/>
          <w:i/>
        </w:rPr>
        <w:t>University of California Press</w:t>
      </w:r>
      <w:r w:rsidRPr="00464961">
        <w:rPr>
          <w:rFonts w:ascii="Times New Roman" w:hAnsi="Times New Roman"/>
        </w:rPr>
        <w:t>, Berkeley and Los Angeles.</w:t>
      </w:r>
    </w:p>
    <w:p w:rsidR="00D430C4" w:rsidRPr="00464961" w:rsidRDefault="00D430C4" w:rsidP="007F3C67">
      <w:pPr>
        <w:spacing w:after="0" w:line="240" w:lineRule="auto"/>
        <w:ind w:left="720" w:hanging="720"/>
        <w:jc w:val="both"/>
        <w:rPr>
          <w:rFonts w:ascii="Times New Roman" w:hAnsi="Times New Roman"/>
        </w:rPr>
      </w:pPr>
      <w:proofErr w:type="spellStart"/>
      <w:r w:rsidRPr="00464961">
        <w:rPr>
          <w:rFonts w:ascii="Times New Roman" w:hAnsi="Times New Roman"/>
        </w:rPr>
        <w:t>Rodriguez</w:t>
      </w:r>
      <w:proofErr w:type="gramStart"/>
      <w:r w:rsidRPr="00464961">
        <w:rPr>
          <w:rFonts w:ascii="Times New Roman" w:hAnsi="Times New Roman"/>
        </w:rPr>
        <w:t>,Edgard</w:t>
      </w:r>
      <w:proofErr w:type="spellEnd"/>
      <w:proofErr w:type="gramEnd"/>
      <w:r>
        <w:rPr>
          <w:rFonts w:ascii="Times New Roman" w:hAnsi="Times New Roman"/>
        </w:rPr>
        <w:t xml:space="preserve"> R. 1998. </w:t>
      </w:r>
      <w:r w:rsidRPr="00464961">
        <w:rPr>
          <w:rFonts w:ascii="Times New Roman" w:hAnsi="Times New Roman"/>
        </w:rPr>
        <w:t>International Migration and Income Distribution in the Philippines</w:t>
      </w:r>
      <w:r>
        <w:rPr>
          <w:rFonts w:ascii="Times New Roman" w:hAnsi="Times New Roman"/>
        </w:rPr>
        <w:t>,</w:t>
      </w:r>
      <w:r w:rsidRPr="00464961">
        <w:rPr>
          <w:rFonts w:ascii="Times New Roman" w:hAnsi="Times New Roman"/>
        </w:rPr>
        <w:t xml:space="preserve"> Economic Development and Cultural Change, Vol. 46, No. 2 (January 1998), pp. 329-350, </w:t>
      </w:r>
      <w:proofErr w:type="gramStart"/>
      <w:r w:rsidRPr="007F3C67">
        <w:rPr>
          <w:rFonts w:ascii="Times New Roman" w:hAnsi="Times New Roman"/>
          <w:i/>
        </w:rPr>
        <w:t>The</w:t>
      </w:r>
      <w:proofErr w:type="gramEnd"/>
      <w:r w:rsidRPr="007F3C67">
        <w:rPr>
          <w:rFonts w:ascii="Times New Roman" w:hAnsi="Times New Roman"/>
          <w:i/>
        </w:rPr>
        <w:t xml:space="preserve"> University of Chicago Press.</w:t>
      </w:r>
    </w:p>
    <w:p w:rsidR="00D430C4" w:rsidRPr="00464961" w:rsidRDefault="00D430C4" w:rsidP="007F3C67">
      <w:pPr>
        <w:spacing w:after="0" w:line="240" w:lineRule="auto"/>
        <w:ind w:left="720" w:hanging="720"/>
        <w:jc w:val="both"/>
        <w:rPr>
          <w:rFonts w:ascii="Times New Roman" w:hAnsi="Times New Roman"/>
        </w:rPr>
      </w:pPr>
      <w:proofErr w:type="spellStart"/>
      <w:proofErr w:type="gramStart"/>
      <w:r>
        <w:rPr>
          <w:rFonts w:ascii="Times New Roman" w:hAnsi="Times New Roman"/>
        </w:rPr>
        <w:t>Sahn</w:t>
      </w:r>
      <w:proofErr w:type="spellEnd"/>
      <w:r>
        <w:rPr>
          <w:rFonts w:ascii="Times New Roman" w:hAnsi="Times New Roman"/>
        </w:rPr>
        <w:t>, D.</w:t>
      </w:r>
      <w:r w:rsidRPr="00464961">
        <w:rPr>
          <w:rFonts w:ascii="Times New Roman" w:hAnsi="Times New Roman"/>
        </w:rPr>
        <w:t xml:space="preserve">E. and D.C. </w:t>
      </w:r>
      <w:proofErr w:type="spellStart"/>
      <w:r w:rsidRPr="00464961">
        <w:rPr>
          <w:rFonts w:ascii="Times New Roman" w:hAnsi="Times New Roman"/>
        </w:rPr>
        <w:t>Stifel</w:t>
      </w:r>
      <w:proofErr w:type="spellEnd"/>
      <w:r>
        <w:rPr>
          <w:rFonts w:ascii="Times New Roman" w:hAnsi="Times New Roman"/>
        </w:rPr>
        <w:t>.</w:t>
      </w:r>
      <w:proofErr w:type="gramEnd"/>
      <w:r w:rsidRPr="00464961">
        <w:rPr>
          <w:rFonts w:ascii="Times New Roman" w:hAnsi="Times New Roman"/>
        </w:rPr>
        <w:t xml:space="preserve"> </w:t>
      </w:r>
      <w:r w:rsidR="007F3C67">
        <w:rPr>
          <w:rFonts w:ascii="Times New Roman" w:hAnsi="Times New Roman"/>
        </w:rPr>
        <w:t>(2003):</w:t>
      </w:r>
      <w:r w:rsidRPr="00464961">
        <w:rPr>
          <w:rFonts w:ascii="Times New Roman" w:hAnsi="Times New Roman"/>
        </w:rPr>
        <w:t xml:space="preserve"> </w:t>
      </w:r>
      <w:r w:rsidR="007F3C67">
        <w:rPr>
          <w:rFonts w:ascii="Times New Roman" w:hAnsi="Times New Roman"/>
        </w:rPr>
        <w:t>‘</w:t>
      </w:r>
      <w:r w:rsidRPr="00464961">
        <w:rPr>
          <w:rFonts w:ascii="Times New Roman" w:hAnsi="Times New Roman"/>
        </w:rPr>
        <w:t>Exploring Alternative Measures of Welfare in the Absence of Expenditure Data,</w:t>
      </w:r>
      <w:r w:rsidR="007F3C67">
        <w:rPr>
          <w:rFonts w:ascii="Times New Roman" w:hAnsi="Times New Roman"/>
        </w:rPr>
        <w:t>’</w:t>
      </w:r>
      <w:r>
        <w:rPr>
          <w:rFonts w:ascii="Times New Roman" w:hAnsi="Times New Roman"/>
        </w:rPr>
        <w:t xml:space="preserve"> </w:t>
      </w:r>
      <w:r w:rsidRPr="007F3C67">
        <w:rPr>
          <w:rFonts w:ascii="Times New Roman" w:hAnsi="Times New Roman"/>
          <w:i/>
        </w:rPr>
        <w:t>The Review of Income and Wealth,</w:t>
      </w:r>
      <w:r w:rsidRPr="00464961">
        <w:rPr>
          <w:rFonts w:ascii="Times New Roman" w:hAnsi="Times New Roman"/>
        </w:rPr>
        <w:t xml:space="preserve"> 49 (4): </w:t>
      </w:r>
      <w:proofErr w:type="spellStart"/>
      <w:r w:rsidRPr="00464961">
        <w:rPr>
          <w:rFonts w:ascii="Times New Roman" w:hAnsi="Times New Roman"/>
        </w:rPr>
        <w:t>pp</w:t>
      </w:r>
      <w:proofErr w:type="spellEnd"/>
      <w:r w:rsidRPr="00464961">
        <w:rPr>
          <w:rFonts w:ascii="Times New Roman" w:hAnsi="Times New Roman"/>
        </w:rPr>
        <w:t xml:space="preserve"> 463-489.</w:t>
      </w:r>
    </w:p>
    <w:p w:rsidR="00D430C4" w:rsidRDefault="00D430C4" w:rsidP="007F3C67">
      <w:pPr>
        <w:spacing w:after="0" w:line="240" w:lineRule="auto"/>
        <w:ind w:left="720" w:hanging="720"/>
        <w:rPr>
          <w:rFonts w:ascii="Times New Roman" w:hAnsi="Times New Roman"/>
        </w:rPr>
      </w:pPr>
      <w:proofErr w:type="spellStart"/>
      <w:proofErr w:type="gramStart"/>
      <w:r>
        <w:rPr>
          <w:rFonts w:ascii="Times New Roman" w:hAnsi="Times New Roman"/>
        </w:rPr>
        <w:t>Sastry</w:t>
      </w:r>
      <w:proofErr w:type="spellEnd"/>
      <w:r>
        <w:rPr>
          <w:rFonts w:ascii="Times New Roman" w:hAnsi="Times New Roman"/>
        </w:rPr>
        <w:t>, N. 2004.</w:t>
      </w:r>
      <w:proofErr w:type="gramEnd"/>
      <w:r w:rsidRPr="00464961">
        <w:rPr>
          <w:rFonts w:ascii="Times New Roman" w:hAnsi="Times New Roman"/>
        </w:rPr>
        <w:t xml:space="preserve"> Trends in Socioeconomic Inequalities in Mortality in Developing Countries: The case of Child Survival in Sao Paulo, Brazil, </w:t>
      </w:r>
      <w:r w:rsidRPr="007F3C67">
        <w:rPr>
          <w:rFonts w:ascii="Times New Roman" w:hAnsi="Times New Roman"/>
          <w:i/>
        </w:rPr>
        <w:t>Demography</w:t>
      </w:r>
      <w:r w:rsidR="007F3C67">
        <w:rPr>
          <w:rFonts w:ascii="Times New Roman" w:hAnsi="Times New Roman"/>
          <w:i/>
        </w:rPr>
        <w:t>,</w:t>
      </w:r>
      <w:r w:rsidRPr="007F3C67">
        <w:rPr>
          <w:rFonts w:ascii="Times New Roman" w:hAnsi="Times New Roman"/>
          <w:i/>
        </w:rPr>
        <w:t xml:space="preserve"> </w:t>
      </w:r>
      <w:r w:rsidRPr="00464961">
        <w:rPr>
          <w:rFonts w:ascii="Times New Roman" w:hAnsi="Times New Roman"/>
        </w:rPr>
        <w:t>41(3): 443-464.</w:t>
      </w:r>
    </w:p>
    <w:p w:rsidR="007F3C67" w:rsidRDefault="007F3C67" w:rsidP="007F3C67">
      <w:pPr>
        <w:spacing w:after="0" w:line="240" w:lineRule="auto"/>
        <w:ind w:left="720" w:hanging="720"/>
        <w:rPr>
          <w:rFonts w:ascii="Times New Roman" w:hAnsi="Times New Roman"/>
        </w:rPr>
      </w:pPr>
    </w:p>
    <w:p w:rsidR="00D430C4" w:rsidRPr="00464961" w:rsidRDefault="00D430C4" w:rsidP="007F3C67">
      <w:pPr>
        <w:spacing w:after="0" w:line="240" w:lineRule="auto"/>
        <w:ind w:left="720" w:hanging="720"/>
        <w:jc w:val="both"/>
        <w:rPr>
          <w:rFonts w:ascii="Times New Roman" w:hAnsi="Times New Roman"/>
        </w:rPr>
      </w:pPr>
      <w:proofErr w:type="spellStart"/>
      <w:r>
        <w:rPr>
          <w:rFonts w:ascii="Times New Roman" w:hAnsi="Times New Roman"/>
        </w:rPr>
        <w:t>Schellenberg</w:t>
      </w:r>
      <w:proofErr w:type="spellEnd"/>
      <w:r>
        <w:rPr>
          <w:rFonts w:ascii="Times New Roman" w:hAnsi="Times New Roman"/>
        </w:rPr>
        <w:t xml:space="preserve">, J. A., C.G. </w:t>
      </w:r>
      <w:proofErr w:type="spellStart"/>
      <w:r>
        <w:rPr>
          <w:rFonts w:ascii="Times New Roman" w:hAnsi="Times New Roman"/>
        </w:rPr>
        <w:t>Victora</w:t>
      </w:r>
      <w:proofErr w:type="spellEnd"/>
      <w:r>
        <w:rPr>
          <w:rFonts w:ascii="Times New Roman" w:hAnsi="Times New Roman"/>
        </w:rPr>
        <w:t xml:space="preserve">, A. </w:t>
      </w:r>
      <w:proofErr w:type="spellStart"/>
      <w:r>
        <w:rPr>
          <w:rFonts w:ascii="Times New Roman" w:hAnsi="Times New Roman"/>
        </w:rPr>
        <w:t>Mushi</w:t>
      </w:r>
      <w:proofErr w:type="spellEnd"/>
      <w:r>
        <w:rPr>
          <w:rFonts w:ascii="Times New Roman" w:hAnsi="Times New Roman"/>
        </w:rPr>
        <w:t>, D.</w:t>
      </w:r>
      <w:r w:rsidRPr="00464961">
        <w:rPr>
          <w:rFonts w:ascii="Times New Roman" w:hAnsi="Times New Roman"/>
        </w:rPr>
        <w:t xml:space="preserve">de </w:t>
      </w:r>
      <w:proofErr w:type="spellStart"/>
      <w:r w:rsidRPr="00464961">
        <w:rPr>
          <w:rFonts w:ascii="Times New Roman" w:hAnsi="Times New Roman"/>
        </w:rPr>
        <w:t>Savigny</w:t>
      </w:r>
      <w:proofErr w:type="spellEnd"/>
      <w:r w:rsidRPr="00464961">
        <w:rPr>
          <w:rFonts w:ascii="Times New Roman" w:hAnsi="Times New Roman"/>
        </w:rPr>
        <w:t xml:space="preserve">, </w:t>
      </w:r>
      <w:proofErr w:type="spellStart"/>
      <w:r w:rsidRPr="00464961">
        <w:rPr>
          <w:rFonts w:ascii="Times New Roman" w:hAnsi="Times New Roman"/>
        </w:rPr>
        <w:t>D.Schellenber</w:t>
      </w:r>
      <w:r w:rsidR="007F3C67">
        <w:rPr>
          <w:rFonts w:ascii="Times New Roman" w:hAnsi="Times New Roman"/>
        </w:rPr>
        <w:t>g</w:t>
      </w:r>
      <w:proofErr w:type="spellEnd"/>
      <w:r w:rsidR="007F3C67">
        <w:rPr>
          <w:rFonts w:ascii="Times New Roman" w:hAnsi="Times New Roman"/>
        </w:rPr>
        <w:t xml:space="preserve">, H.M </w:t>
      </w:r>
      <w:proofErr w:type="spellStart"/>
      <w:r w:rsidR="007F3C67">
        <w:rPr>
          <w:rFonts w:ascii="Times New Roman" w:hAnsi="Times New Roman"/>
        </w:rPr>
        <w:t>shinda</w:t>
      </w:r>
      <w:proofErr w:type="spellEnd"/>
      <w:r w:rsidR="007F3C67">
        <w:rPr>
          <w:rFonts w:ascii="Times New Roman" w:hAnsi="Times New Roman"/>
        </w:rPr>
        <w:t>, and J. Bryce (</w:t>
      </w:r>
      <w:r>
        <w:rPr>
          <w:rFonts w:ascii="Times New Roman" w:hAnsi="Times New Roman"/>
        </w:rPr>
        <w:t>2003</w:t>
      </w:r>
      <w:r w:rsidR="007F3C67">
        <w:rPr>
          <w:rFonts w:ascii="Times New Roman" w:hAnsi="Times New Roman"/>
        </w:rPr>
        <w:t>):</w:t>
      </w:r>
      <w:r>
        <w:rPr>
          <w:rFonts w:ascii="Times New Roman" w:hAnsi="Times New Roman"/>
        </w:rPr>
        <w:t xml:space="preserve"> </w:t>
      </w:r>
      <w:r w:rsidR="007F3C67">
        <w:rPr>
          <w:rFonts w:ascii="Times New Roman" w:hAnsi="Times New Roman"/>
        </w:rPr>
        <w:t>‘</w:t>
      </w:r>
      <w:r w:rsidRPr="00464961">
        <w:rPr>
          <w:rFonts w:ascii="Times New Roman" w:hAnsi="Times New Roman"/>
        </w:rPr>
        <w:t xml:space="preserve">Inequities among the Very Poor: Health Care for Children in Rural Southern </w:t>
      </w:r>
      <w:r w:rsidRPr="00464961">
        <w:rPr>
          <w:rFonts w:ascii="Times New Roman" w:hAnsi="Times New Roman"/>
        </w:rPr>
        <w:lastRenderedPageBreak/>
        <w:t>Tanzania,</w:t>
      </w:r>
      <w:r w:rsidR="007F3C67">
        <w:rPr>
          <w:rFonts w:ascii="Times New Roman" w:hAnsi="Times New Roman"/>
        </w:rPr>
        <w:t>’</w:t>
      </w:r>
      <w:r w:rsidRPr="00464961">
        <w:rPr>
          <w:rFonts w:ascii="Times New Roman" w:hAnsi="Times New Roman"/>
        </w:rPr>
        <w:t xml:space="preserve"> </w:t>
      </w:r>
      <w:r w:rsidRPr="007F3C67">
        <w:rPr>
          <w:rFonts w:ascii="Times New Roman" w:hAnsi="Times New Roman"/>
          <w:i/>
        </w:rPr>
        <w:t>The Lancet</w:t>
      </w:r>
      <w:r w:rsidR="007F3C67">
        <w:rPr>
          <w:rFonts w:ascii="Times New Roman" w:hAnsi="Times New Roman"/>
          <w:i/>
        </w:rPr>
        <w:t>,</w:t>
      </w:r>
      <w:r w:rsidRPr="00464961">
        <w:rPr>
          <w:rFonts w:ascii="Times New Roman" w:hAnsi="Times New Roman"/>
        </w:rPr>
        <w:t xml:space="preserve"> 361(9357): 561-566. </w:t>
      </w:r>
    </w:p>
    <w:p w:rsidR="00D430C4" w:rsidRPr="00464961" w:rsidRDefault="00D430C4" w:rsidP="00E02BF8">
      <w:pPr>
        <w:spacing w:after="0" w:line="240" w:lineRule="auto"/>
        <w:ind w:left="720" w:hanging="720"/>
        <w:jc w:val="both"/>
        <w:rPr>
          <w:rFonts w:ascii="Times New Roman" w:hAnsi="Times New Roman"/>
        </w:rPr>
      </w:pPr>
      <w:proofErr w:type="spellStart"/>
      <w:r w:rsidRPr="00464961">
        <w:rPr>
          <w:rFonts w:ascii="Times New Roman" w:hAnsi="Times New Roman"/>
        </w:rPr>
        <w:t>Singh</w:t>
      </w:r>
      <w:proofErr w:type="gramStart"/>
      <w:r w:rsidRPr="00464961">
        <w:rPr>
          <w:rFonts w:ascii="Times New Roman" w:hAnsi="Times New Roman"/>
        </w:rPr>
        <w:t>,</w:t>
      </w:r>
      <w:r w:rsidRPr="004F347C">
        <w:rPr>
          <w:rFonts w:ascii="Times New Roman" w:hAnsi="Times New Roman"/>
        </w:rPr>
        <w:t>Nirvikar</w:t>
      </w:r>
      <w:proofErr w:type="spellEnd"/>
      <w:proofErr w:type="gramEnd"/>
      <w:r>
        <w:rPr>
          <w:rFonts w:ascii="Times New Roman" w:hAnsi="Times New Roman"/>
        </w:rPr>
        <w:t xml:space="preserve">., </w:t>
      </w:r>
      <w:proofErr w:type="spellStart"/>
      <w:r w:rsidRPr="004F347C">
        <w:rPr>
          <w:rFonts w:ascii="Times New Roman" w:hAnsi="Times New Roman"/>
        </w:rPr>
        <w:t>Laveesh</w:t>
      </w:r>
      <w:proofErr w:type="spellEnd"/>
      <w:r>
        <w:rPr>
          <w:rFonts w:ascii="Times New Roman" w:hAnsi="Times New Roman"/>
        </w:rPr>
        <w:t xml:space="preserve"> </w:t>
      </w:r>
      <w:proofErr w:type="spellStart"/>
      <w:r>
        <w:rPr>
          <w:rFonts w:ascii="Times New Roman" w:hAnsi="Times New Roman"/>
        </w:rPr>
        <w:t>Bhandari</w:t>
      </w:r>
      <w:proofErr w:type="spellEnd"/>
      <w:r>
        <w:rPr>
          <w:rFonts w:ascii="Times New Roman" w:hAnsi="Times New Roman"/>
        </w:rPr>
        <w:t>,</w:t>
      </w:r>
      <w:r w:rsidRPr="00464961">
        <w:rPr>
          <w:rFonts w:ascii="Times New Roman" w:hAnsi="Times New Roman"/>
        </w:rPr>
        <w:t xml:space="preserve"> </w:t>
      </w:r>
      <w:proofErr w:type="spellStart"/>
      <w:r w:rsidRPr="004F347C">
        <w:rPr>
          <w:rFonts w:ascii="Times New Roman" w:hAnsi="Times New Roman"/>
        </w:rPr>
        <w:t>Aoyu</w:t>
      </w:r>
      <w:proofErr w:type="spellEnd"/>
      <w:r>
        <w:rPr>
          <w:rFonts w:ascii="Times New Roman" w:hAnsi="Times New Roman"/>
        </w:rPr>
        <w:t xml:space="preserve"> </w:t>
      </w:r>
      <w:r w:rsidRPr="00464961">
        <w:rPr>
          <w:rFonts w:ascii="Times New Roman" w:hAnsi="Times New Roman"/>
        </w:rPr>
        <w:t>Chen</w:t>
      </w:r>
      <w:r>
        <w:rPr>
          <w:rFonts w:ascii="Times New Roman" w:hAnsi="Times New Roman"/>
        </w:rPr>
        <w:t xml:space="preserve"> </w:t>
      </w:r>
      <w:r w:rsidRPr="00464961">
        <w:rPr>
          <w:rFonts w:ascii="Times New Roman" w:hAnsi="Times New Roman"/>
        </w:rPr>
        <w:t xml:space="preserve">and </w:t>
      </w:r>
      <w:proofErr w:type="spellStart"/>
      <w:r w:rsidRPr="004F347C">
        <w:rPr>
          <w:rFonts w:ascii="Times New Roman" w:hAnsi="Times New Roman"/>
        </w:rPr>
        <w:t>Aarti</w:t>
      </w:r>
      <w:proofErr w:type="spellEnd"/>
      <w:r w:rsidRPr="000310C3">
        <w:rPr>
          <w:rFonts w:ascii="Times New Roman" w:hAnsi="Times New Roman"/>
        </w:rPr>
        <w:t xml:space="preserve"> </w:t>
      </w:r>
      <w:proofErr w:type="spellStart"/>
      <w:r>
        <w:rPr>
          <w:rFonts w:ascii="Times New Roman" w:hAnsi="Times New Roman"/>
        </w:rPr>
        <w:t>Khare</w:t>
      </w:r>
      <w:proofErr w:type="spellEnd"/>
      <w:r>
        <w:rPr>
          <w:rFonts w:ascii="Times New Roman" w:hAnsi="Times New Roman"/>
        </w:rPr>
        <w:t xml:space="preserve">. </w:t>
      </w:r>
      <w:r w:rsidR="00E02BF8">
        <w:rPr>
          <w:rFonts w:ascii="Times New Roman" w:hAnsi="Times New Roman"/>
        </w:rPr>
        <w:t>(</w:t>
      </w:r>
      <w:r w:rsidRPr="00464961">
        <w:rPr>
          <w:rFonts w:ascii="Times New Roman" w:hAnsi="Times New Roman"/>
        </w:rPr>
        <w:t>2003</w:t>
      </w:r>
      <w:r w:rsidR="00E02BF8">
        <w:rPr>
          <w:rFonts w:ascii="Times New Roman" w:hAnsi="Times New Roman"/>
        </w:rPr>
        <w:t>): ‘</w:t>
      </w:r>
      <w:r w:rsidRPr="00464961">
        <w:rPr>
          <w:rFonts w:ascii="Times New Roman" w:hAnsi="Times New Roman"/>
        </w:rPr>
        <w:t>Regional Inequality in India: A Fresh</w:t>
      </w:r>
      <w:r>
        <w:rPr>
          <w:rFonts w:ascii="Times New Roman" w:hAnsi="Times New Roman"/>
        </w:rPr>
        <w:t xml:space="preserve"> Look</w:t>
      </w:r>
      <w:r w:rsidRPr="00464961">
        <w:rPr>
          <w:rFonts w:ascii="Times New Roman" w:hAnsi="Times New Roman"/>
        </w:rPr>
        <w:t>,</w:t>
      </w:r>
      <w:r w:rsidR="00E02BF8">
        <w:rPr>
          <w:rFonts w:ascii="Times New Roman" w:hAnsi="Times New Roman"/>
        </w:rPr>
        <w:t>’</w:t>
      </w:r>
      <w:r>
        <w:rPr>
          <w:rFonts w:ascii="Times New Roman" w:hAnsi="Times New Roman"/>
        </w:rPr>
        <w:t xml:space="preserve"> </w:t>
      </w:r>
      <w:r w:rsidRPr="00E02BF8">
        <w:rPr>
          <w:rFonts w:ascii="Times New Roman" w:hAnsi="Times New Roman"/>
          <w:i/>
        </w:rPr>
        <w:t xml:space="preserve">Economic and Political Weekly, </w:t>
      </w:r>
      <w:r w:rsidRPr="00464961">
        <w:rPr>
          <w:rFonts w:ascii="Times New Roman" w:hAnsi="Times New Roman"/>
        </w:rPr>
        <w:t>Vol. 38, No. 11 (M</w:t>
      </w:r>
      <w:r>
        <w:rPr>
          <w:rFonts w:ascii="Times New Roman" w:hAnsi="Times New Roman"/>
        </w:rPr>
        <w:t>ar. 15-21, 2003), pp. 1069-1073</w:t>
      </w:r>
      <w:r w:rsidRPr="00464961">
        <w:rPr>
          <w:rFonts w:ascii="Times New Roman" w:hAnsi="Times New Roman"/>
        </w:rPr>
        <w:t>.</w:t>
      </w:r>
    </w:p>
    <w:p w:rsidR="00D430C4" w:rsidRDefault="00D430C4" w:rsidP="00E02BF8">
      <w:pPr>
        <w:spacing w:after="0" w:line="240" w:lineRule="auto"/>
        <w:ind w:left="720" w:hanging="720"/>
        <w:jc w:val="both"/>
        <w:rPr>
          <w:rFonts w:ascii="Times New Roman" w:hAnsi="Times New Roman"/>
        </w:rPr>
      </w:pPr>
      <w:proofErr w:type="spellStart"/>
      <w:r>
        <w:rPr>
          <w:rFonts w:ascii="Times New Roman" w:hAnsi="Times New Roman"/>
        </w:rPr>
        <w:t>Stark</w:t>
      </w:r>
      <w:proofErr w:type="gramStart"/>
      <w:r>
        <w:rPr>
          <w:rFonts w:ascii="Times New Roman" w:hAnsi="Times New Roman"/>
        </w:rPr>
        <w:t>,Oded</w:t>
      </w:r>
      <w:proofErr w:type="spellEnd"/>
      <w:proofErr w:type="gramEnd"/>
      <w:r>
        <w:rPr>
          <w:rFonts w:ascii="Times New Roman" w:hAnsi="Times New Roman"/>
        </w:rPr>
        <w:t>,</w:t>
      </w:r>
      <w:r w:rsidRPr="005F03E5">
        <w:rPr>
          <w:rFonts w:ascii="Times New Roman" w:hAnsi="Times New Roman"/>
        </w:rPr>
        <w:t xml:space="preserve"> Edward J</w:t>
      </w:r>
      <w:r>
        <w:rPr>
          <w:rFonts w:ascii="Times New Roman" w:hAnsi="Times New Roman"/>
        </w:rPr>
        <w:t xml:space="preserve"> Taylor </w:t>
      </w:r>
      <w:r w:rsidRPr="005F03E5">
        <w:rPr>
          <w:rFonts w:ascii="Times New Roman" w:hAnsi="Times New Roman"/>
        </w:rPr>
        <w:t>and</w:t>
      </w:r>
      <w:r w:rsidRPr="00205779">
        <w:rPr>
          <w:rFonts w:ascii="Times New Roman" w:hAnsi="Times New Roman"/>
          <w:b/>
        </w:rPr>
        <w:t xml:space="preserve"> </w:t>
      </w:r>
      <w:proofErr w:type="spellStart"/>
      <w:r w:rsidRPr="00464961">
        <w:rPr>
          <w:rFonts w:ascii="Times New Roman" w:hAnsi="Times New Roman"/>
        </w:rPr>
        <w:t>Shlomo</w:t>
      </w:r>
      <w:proofErr w:type="spellEnd"/>
      <w:r w:rsidRPr="00FC5EC3">
        <w:rPr>
          <w:rFonts w:ascii="Times New Roman" w:hAnsi="Times New Roman"/>
        </w:rPr>
        <w:t xml:space="preserve"> </w:t>
      </w:r>
      <w:proofErr w:type="spellStart"/>
      <w:r>
        <w:rPr>
          <w:rFonts w:ascii="Times New Roman" w:hAnsi="Times New Roman"/>
        </w:rPr>
        <w:t>Yitzhaki</w:t>
      </w:r>
      <w:proofErr w:type="spellEnd"/>
      <w:r>
        <w:rPr>
          <w:rFonts w:ascii="Times New Roman" w:hAnsi="Times New Roman"/>
        </w:rPr>
        <w:t xml:space="preserve">. </w:t>
      </w:r>
      <w:r w:rsidR="00E02BF8">
        <w:rPr>
          <w:rFonts w:ascii="Times New Roman" w:hAnsi="Times New Roman"/>
        </w:rPr>
        <w:t>(1986):</w:t>
      </w:r>
      <w:r>
        <w:rPr>
          <w:rFonts w:ascii="Times New Roman" w:hAnsi="Times New Roman"/>
        </w:rPr>
        <w:t xml:space="preserve"> </w:t>
      </w:r>
      <w:r w:rsidR="00E02BF8">
        <w:rPr>
          <w:rFonts w:ascii="Times New Roman" w:hAnsi="Times New Roman"/>
        </w:rPr>
        <w:t>‘</w:t>
      </w:r>
      <w:r w:rsidRPr="00464961">
        <w:rPr>
          <w:rFonts w:ascii="Times New Roman" w:hAnsi="Times New Roman"/>
        </w:rPr>
        <w:t>Remittances and Inequality,</w:t>
      </w:r>
      <w:r w:rsidR="00E02BF8">
        <w:rPr>
          <w:rFonts w:ascii="Times New Roman" w:hAnsi="Times New Roman"/>
        </w:rPr>
        <w:t>’</w:t>
      </w:r>
      <w:r>
        <w:rPr>
          <w:rFonts w:ascii="Times New Roman" w:hAnsi="Times New Roman"/>
        </w:rPr>
        <w:t xml:space="preserve"> </w:t>
      </w:r>
      <w:proofErr w:type="gramStart"/>
      <w:r w:rsidRPr="00E02BF8">
        <w:rPr>
          <w:rFonts w:ascii="Times New Roman" w:hAnsi="Times New Roman"/>
          <w:i/>
        </w:rPr>
        <w:t>The</w:t>
      </w:r>
      <w:proofErr w:type="gramEnd"/>
      <w:r w:rsidRPr="00E02BF8">
        <w:rPr>
          <w:rFonts w:ascii="Times New Roman" w:hAnsi="Times New Roman"/>
          <w:i/>
        </w:rPr>
        <w:t xml:space="preserve"> Economic Journal,</w:t>
      </w:r>
      <w:r>
        <w:rPr>
          <w:rFonts w:ascii="Times New Roman" w:hAnsi="Times New Roman"/>
        </w:rPr>
        <w:t xml:space="preserve"> </w:t>
      </w:r>
      <w:r w:rsidRPr="00464961">
        <w:rPr>
          <w:rFonts w:ascii="Times New Roman" w:hAnsi="Times New Roman"/>
        </w:rPr>
        <w:t xml:space="preserve">Vol. 96, No. 383. </w:t>
      </w:r>
      <w:proofErr w:type="gramStart"/>
      <w:r w:rsidRPr="00464961">
        <w:rPr>
          <w:rFonts w:ascii="Times New Roman" w:hAnsi="Times New Roman"/>
        </w:rPr>
        <w:t>(Sep., 1986), pp. 722-740.</w:t>
      </w:r>
      <w:proofErr w:type="gramEnd"/>
    </w:p>
    <w:p w:rsidR="00D430C4" w:rsidRPr="00464961" w:rsidRDefault="00D430C4" w:rsidP="00E02BF8">
      <w:pPr>
        <w:spacing w:after="0" w:line="240" w:lineRule="auto"/>
        <w:ind w:left="720" w:hanging="720"/>
        <w:jc w:val="both"/>
        <w:rPr>
          <w:rFonts w:ascii="Times New Roman" w:hAnsi="Times New Roman"/>
        </w:rPr>
      </w:pPr>
      <w:proofErr w:type="spellStart"/>
      <w:r w:rsidRPr="00464961">
        <w:rPr>
          <w:rFonts w:ascii="Times New Roman" w:hAnsi="Times New Roman"/>
        </w:rPr>
        <w:t>Subrahmanian</w:t>
      </w:r>
      <w:proofErr w:type="gramStart"/>
      <w:r>
        <w:rPr>
          <w:rFonts w:ascii="Times New Roman" w:hAnsi="Times New Roman"/>
        </w:rPr>
        <w:t>,K.K</w:t>
      </w:r>
      <w:proofErr w:type="spellEnd"/>
      <w:proofErr w:type="gramEnd"/>
      <w:r w:rsidRPr="00464961">
        <w:rPr>
          <w:rFonts w:ascii="Times New Roman" w:hAnsi="Times New Roman"/>
        </w:rPr>
        <w:t xml:space="preserve"> and </w:t>
      </w:r>
      <w:proofErr w:type="spellStart"/>
      <w:r w:rsidR="00E02BF8">
        <w:rPr>
          <w:rFonts w:ascii="Times New Roman" w:hAnsi="Times New Roman"/>
        </w:rPr>
        <w:t>Syam</w:t>
      </w:r>
      <w:proofErr w:type="spellEnd"/>
      <w:r w:rsidR="00E02BF8">
        <w:rPr>
          <w:rFonts w:ascii="Times New Roman" w:hAnsi="Times New Roman"/>
        </w:rPr>
        <w:t xml:space="preserve"> Prasad. (2008):</w:t>
      </w:r>
      <w:r>
        <w:rPr>
          <w:rFonts w:ascii="Times New Roman" w:hAnsi="Times New Roman"/>
        </w:rPr>
        <w:t xml:space="preserve"> </w:t>
      </w:r>
      <w:r w:rsidR="00E02BF8">
        <w:rPr>
          <w:rFonts w:ascii="Times New Roman" w:hAnsi="Times New Roman"/>
        </w:rPr>
        <w:t>‘</w:t>
      </w:r>
      <w:r w:rsidRPr="00464961">
        <w:rPr>
          <w:rFonts w:ascii="Times New Roman" w:hAnsi="Times New Roman"/>
        </w:rPr>
        <w:t>Rising inequality with high growth isn't this trend worrisome?</w:t>
      </w:r>
      <w:r>
        <w:rPr>
          <w:rFonts w:ascii="Times New Roman" w:hAnsi="Times New Roman"/>
        </w:rPr>
        <w:t xml:space="preserve"> : A</w:t>
      </w:r>
      <w:r w:rsidRPr="00464961">
        <w:rPr>
          <w:rFonts w:ascii="Times New Roman" w:hAnsi="Times New Roman"/>
        </w:rPr>
        <w:t xml:space="preserve">nalysis of </w:t>
      </w:r>
      <w:proofErr w:type="spellStart"/>
      <w:r w:rsidRPr="00464961">
        <w:rPr>
          <w:rFonts w:ascii="Times New Roman" w:hAnsi="Times New Roman"/>
        </w:rPr>
        <w:t>kerala</w:t>
      </w:r>
      <w:proofErr w:type="spellEnd"/>
      <w:r w:rsidRPr="00464961">
        <w:rPr>
          <w:rFonts w:ascii="Times New Roman" w:hAnsi="Times New Roman"/>
        </w:rPr>
        <w:t xml:space="preserve"> experience,</w:t>
      </w:r>
      <w:r w:rsidR="00E02BF8">
        <w:rPr>
          <w:rFonts w:ascii="Times New Roman" w:hAnsi="Times New Roman"/>
        </w:rPr>
        <w:t>’</w:t>
      </w:r>
      <w:r>
        <w:rPr>
          <w:rFonts w:ascii="Times New Roman" w:hAnsi="Times New Roman"/>
        </w:rPr>
        <w:t xml:space="preserve"> </w:t>
      </w:r>
      <w:r w:rsidRPr="00E02BF8">
        <w:rPr>
          <w:rFonts w:ascii="Times New Roman" w:hAnsi="Times New Roman"/>
          <w:i/>
        </w:rPr>
        <w:t>Working paper no. 401</w:t>
      </w:r>
      <w:r w:rsidRPr="00464961">
        <w:rPr>
          <w:rFonts w:ascii="Times New Roman" w:hAnsi="Times New Roman"/>
        </w:rPr>
        <w:t xml:space="preserve">, Centre for Development studies, Trivandrum. </w:t>
      </w:r>
    </w:p>
    <w:p w:rsidR="00D430C4" w:rsidRPr="00464961" w:rsidRDefault="00D430C4" w:rsidP="00E02BF8">
      <w:pPr>
        <w:spacing w:after="0" w:line="240" w:lineRule="auto"/>
        <w:ind w:left="720" w:hanging="720"/>
        <w:jc w:val="both"/>
        <w:rPr>
          <w:rFonts w:ascii="Times New Roman" w:hAnsi="Times New Roman"/>
        </w:rPr>
      </w:pPr>
      <w:proofErr w:type="spellStart"/>
      <w:proofErr w:type="gramStart"/>
      <w:r>
        <w:rPr>
          <w:rFonts w:ascii="Times New Roman" w:hAnsi="Times New Roman"/>
        </w:rPr>
        <w:t>T</w:t>
      </w:r>
      <w:r w:rsidR="00E02BF8">
        <w:rPr>
          <w:rFonts w:ascii="Times New Roman" w:hAnsi="Times New Roman"/>
        </w:rPr>
        <w:t>arozzi</w:t>
      </w:r>
      <w:proofErr w:type="spellEnd"/>
      <w:r w:rsidR="00E02BF8">
        <w:rPr>
          <w:rFonts w:ascii="Times New Roman" w:hAnsi="Times New Roman"/>
        </w:rPr>
        <w:t xml:space="preserve">, A. and A. </w:t>
      </w:r>
      <w:proofErr w:type="spellStart"/>
      <w:r w:rsidR="00E02BF8">
        <w:rPr>
          <w:rFonts w:ascii="Times New Roman" w:hAnsi="Times New Roman"/>
        </w:rPr>
        <w:t>Mahajan</w:t>
      </w:r>
      <w:proofErr w:type="spellEnd"/>
      <w:r w:rsidR="00E02BF8">
        <w:rPr>
          <w:rFonts w:ascii="Times New Roman" w:hAnsi="Times New Roman"/>
        </w:rPr>
        <w:t>.</w:t>
      </w:r>
      <w:proofErr w:type="gramEnd"/>
      <w:r w:rsidR="00E02BF8">
        <w:rPr>
          <w:rFonts w:ascii="Times New Roman" w:hAnsi="Times New Roman"/>
        </w:rPr>
        <w:t xml:space="preserve"> (2005):</w:t>
      </w:r>
      <w:r>
        <w:rPr>
          <w:rFonts w:ascii="Times New Roman" w:hAnsi="Times New Roman"/>
        </w:rPr>
        <w:t xml:space="preserve"> </w:t>
      </w:r>
      <w:r w:rsidR="00E02BF8">
        <w:rPr>
          <w:rFonts w:ascii="Times New Roman" w:hAnsi="Times New Roman"/>
        </w:rPr>
        <w:t>‘</w:t>
      </w:r>
      <w:r w:rsidRPr="00464961">
        <w:rPr>
          <w:rFonts w:ascii="Times New Roman" w:hAnsi="Times New Roman"/>
        </w:rPr>
        <w:t>Child Nutrition in India in the Nineties: A Story o</w:t>
      </w:r>
      <w:r>
        <w:rPr>
          <w:rFonts w:ascii="Times New Roman" w:hAnsi="Times New Roman"/>
        </w:rPr>
        <w:t>f Increased Gender Inequality</w:t>
      </w:r>
      <w:proofErr w:type="gramStart"/>
      <w:r>
        <w:rPr>
          <w:rFonts w:ascii="Times New Roman" w:hAnsi="Times New Roman"/>
        </w:rPr>
        <w:t>?,</w:t>
      </w:r>
      <w:proofErr w:type="gramEnd"/>
      <w:r w:rsidR="00E02BF8">
        <w:rPr>
          <w:rFonts w:ascii="Times New Roman" w:hAnsi="Times New Roman"/>
        </w:rPr>
        <w:t>’</w:t>
      </w:r>
      <w:r>
        <w:rPr>
          <w:rFonts w:ascii="Times New Roman" w:hAnsi="Times New Roman"/>
        </w:rPr>
        <w:t xml:space="preserve"> </w:t>
      </w:r>
      <w:r w:rsidRPr="00E02BF8">
        <w:rPr>
          <w:rFonts w:ascii="Times New Roman" w:hAnsi="Times New Roman"/>
          <w:i/>
        </w:rPr>
        <w:t>Discussion paper</w:t>
      </w:r>
      <w:r>
        <w:rPr>
          <w:rFonts w:ascii="Times New Roman" w:hAnsi="Times New Roman"/>
        </w:rPr>
        <w:t xml:space="preserve"> 04-029, Stanford institute for economic policy research</w:t>
      </w:r>
    </w:p>
    <w:p w:rsidR="00D430C4" w:rsidRPr="00464961" w:rsidRDefault="00D430C4" w:rsidP="00E02BF8">
      <w:pPr>
        <w:spacing w:after="0" w:line="240" w:lineRule="auto"/>
        <w:ind w:left="720" w:hanging="720"/>
        <w:jc w:val="both"/>
        <w:rPr>
          <w:rFonts w:ascii="Times New Roman" w:hAnsi="Times New Roman"/>
        </w:rPr>
      </w:pPr>
      <w:proofErr w:type="spellStart"/>
      <w:r w:rsidRPr="00464961">
        <w:rPr>
          <w:rFonts w:ascii="Times New Roman" w:hAnsi="Times New Roman"/>
        </w:rPr>
        <w:t>Tullao</w:t>
      </w:r>
      <w:proofErr w:type="spellEnd"/>
      <w:r w:rsidRPr="00464961">
        <w:rPr>
          <w:rFonts w:ascii="Times New Roman" w:hAnsi="Times New Roman"/>
        </w:rPr>
        <w:t>,</w:t>
      </w:r>
      <w:r>
        <w:rPr>
          <w:rFonts w:ascii="Times New Roman" w:hAnsi="Times New Roman"/>
        </w:rPr>
        <w:t xml:space="preserve"> </w:t>
      </w:r>
      <w:proofErr w:type="gramStart"/>
      <w:r w:rsidRPr="00464961">
        <w:rPr>
          <w:rFonts w:ascii="Times New Roman" w:hAnsi="Times New Roman"/>
        </w:rPr>
        <w:t>T ,</w:t>
      </w:r>
      <w:proofErr w:type="gramEnd"/>
      <w:r w:rsidRPr="00686CEF">
        <w:rPr>
          <w:rFonts w:ascii="Times New Roman" w:hAnsi="Times New Roman"/>
        </w:rPr>
        <w:t xml:space="preserve"> </w:t>
      </w:r>
      <w:proofErr w:type="spellStart"/>
      <w:r w:rsidRPr="00464961">
        <w:rPr>
          <w:rFonts w:ascii="Times New Roman" w:hAnsi="Times New Roman"/>
        </w:rPr>
        <w:t>M</w:t>
      </w:r>
      <w:r>
        <w:rPr>
          <w:rFonts w:ascii="Times New Roman" w:hAnsi="Times New Roman"/>
        </w:rPr>
        <w:t>.</w:t>
      </w:r>
      <w:r w:rsidRPr="00464961">
        <w:rPr>
          <w:rFonts w:ascii="Times New Roman" w:hAnsi="Times New Roman"/>
        </w:rPr>
        <w:t>Cortez</w:t>
      </w:r>
      <w:proofErr w:type="spellEnd"/>
      <w:r>
        <w:rPr>
          <w:rFonts w:ascii="Times New Roman" w:hAnsi="Times New Roman"/>
        </w:rPr>
        <w:t xml:space="preserve"> and E. See. </w:t>
      </w:r>
      <w:r w:rsidR="00E02BF8">
        <w:rPr>
          <w:rFonts w:ascii="Times New Roman" w:hAnsi="Times New Roman"/>
        </w:rPr>
        <w:t>(</w:t>
      </w:r>
      <w:r>
        <w:rPr>
          <w:rFonts w:ascii="Times New Roman" w:hAnsi="Times New Roman"/>
        </w:rPr>
        <w:t>2007</w:t>
      </w:r>
      <w:r w:rsidR="00E02BF8">
        <w:rPr>
          <w:rFonts w:ascii="Times New Roman" w:hAnsi="Times New Roman"/>
        </w:rPr>
        <w:t>):</w:t>
      </w:r>
      <w:r>
        <w:rPr>
          <w:rFonts w:ascii="Times New Roman" w:hAnsi="Times New Roman"/>
        </w:rPr>
        <w:t xml:space="preserve"> </w:t>
      </w:r>
      <w:r w:rsidR="00E02BF8">
        <w:rPr>
          <w:rFonts w:ascii="Times New Roman" w:hAnsi="Times New Roman"/>
        </w:rPr>
        <w:t>‘</w:t>
      </w:r>
      <w:r w:rsidRPr="00464961">
        <w:rPr>
          <w:rFonts w:ascii="Times New Roman" w:hAnsi="Times New Roman"/>
        </w:rPr>
        <w:t>The economic impacts of international migration: A case</w:t>
      </w:r>
      <w:r>
        <w:rPr>
          <w:rFonts w:ascii="Times New Roman" w:hAnsi="Times New Roman"/>
        </w:rPr>
        <w:t xml:space="preserve"> </w:t>
      </w:r>
      <w:r w:rsidRPr="00464961">
        <w:rPr>
          <w:rFonts w:ascii="Times New Roman" w:hAnsi="Times New Roman"/>
        </w:rPr>
        <w:t>study on the Philippines,</w:t>
      </w:r>
      <w:r w:rsidR="00E02BF8">
        <w:rPr>
          <w:rFonts w:ascii="Times New Roman" w:hAnsi="Times New Roman"/>
        </w:rPr>
        <w:t>’</w:t>
      </w:r>
      <w:r>
        <w:rPr>
          <w:rFonts w:ascii="Times New Roman" w:hAnsi="Times New Roman"/>
        </w:rPr>
        <w:t xml:space="preserve"> R</w:t>
      </w:r>
      <w:r w:rsidRPr="00464961">
        <w:rPr>
          <w:rFonts w:ascii="Times New Roman" w:hAnsi="Times New Roman"/>
        </w:rPr>
        <w:t>eport to E</w:t>
      </w:r>
      <w:r>
        <w:rPr>
          <w:rFonts w:ascii="Times New Roman" w:hAnsi="Times New Roman"/>
        </w:rPr>
        <w:t xml:space="preserve">ast </w:t>
      </w:r>
      <w:r w:rsidRPr="00464961">
        <w:rPr>
          <w:rFonts w:ascii="Times New Roman" w:hAnsi="Times New Roman"/>
        </w:rPr>
        <w:t>A</w:t>
      </w:r>
      <w:r>
        <w:rPr>
          <w:rFonts w:ascii="Times New Roman" w:hAnsi="Times New Roman"/>
        </w:rPr>
        <w:t xml:space="preserve">sian </w:t>
      </w:r>
      <w:r w:rsidRPr="00464961">
        <w:rPr>
          <w:rFonts w:ascii="Times New Roman" w:hAnsi="Times New Roman"/>
        </w:rPr>
        <w:t>D</w:t>
      </w:r>
      <w:r>
        <w:rPr>
          <w:rFonts w:ascii="Times New Roman" w:hAnsi="Times New Roman"/>
        </w:rPr>
        <w:t xml:space="preserve">evelopment </w:t>
      </w:r>
      <w:r w:rsidRPr="00464961">
        <w:rPr>
          <w:rFonts w:ascii="Times New Roman" w:hAnsi="Times New Roman"/>
        </w:rPr>
        <w:t>N</w:t>
      </w:r>
      <w:r>
        <w:rPr>
          <w:rFonts w:ascii="Times New Roman" w:hAnsi="Times New Roman"/>
        </w:rPr>
        <w:t>etwork</w:t>
      </w:r>
      <w:r w:rsidRPr="00464961">
        <w:rPr>
          <w:rFonts w:ascii="Times New Roman" w:hAnsi="Times New Roman"/>
        </w:rPr>
        <w:t>.</w:t>
      </w:r>
    </w:p>
    <w:p w:rsidR="00D430C4" w:rsidRDefault="00D430C4" w:rsidP="00E02BF8">
      <w:pPr>
        <w:spacing w:after="0" w:line="240" w:lineRule="auto"/>
        <w:ind w:left="720" w:hanging="720"/>
        <w:rPr>
          <w:rFonts w:ascii="Times New Roman" w:hAnsi="Times New Roman"/>
        </w:rPr>
      </w:pPr>
      <w:proofErr w:type="gramStart"/>
      <w:r w:rsidRPr="00464961">
        <w:rPr>
          <w:rFonts w:ascii="Times New Roman" w:hAnsi="Times New Roman"/>
        </w:rPr>
        <w:t xml:space="preserve">United Nations </w:t>
      </w:r>
      <w:r w:rsidRPr="00D535A0">
        <w:rPr>
          <w:rFonts w:ascii="Times New Roman" w:hAnsi="Times New Roman"/>
        </w:rPr>
        <w:t>/CDS</w:t>
      </w:r>
      <w:r>
        <w:rPr>
          <w:rFonts w:ascii="Times New Roman" w:hAnsi="Times New Roman"/>
        </w:rPr>
        <w:t>.</w:t>
      </w:r>
      <w:proofErr w:type="gramEnd"/>
      <w:r>
        <w:rPr>
          <w:rFonts w:ascii="Times New Roman" w:hAnsi="Times New Roman"/>
        </w:rPr>
        <w:t xml:space="preserve"> </w:t>
      </w:r>
      <w:r w:rsidR="00E02BF8">
        <w:rPr>
          <w:rFonts w:ascii="Times New Roman" w:hAnsi="Times New Roman"/>
        </w:rPr>
        <w:t>(</w:t>
      </w:r>
      <w:r w:rsidRPr="00D535A0">
        <w:rPr>
          <w:rFonts w:ascii="Times New Roman" w:hAnsi="Times New Roman"/>
        </w:rPr>
        <w:t>1975</w:t>
      </w:r>
      <w:r w:rsidR="00E02BF8">
        <w:rPr>
          <w:rFonts w:ascii="Times New Roman" w:hAnsi="Times New Roman"/>
        </w:rPr>
        <w:t>):</w:t>
      </w:r>
      <w:r>
        <w:rPr>
          <w:rFonts w:ascii="Times New Roman" w:hAnsi="Times New Roman"/>
        </w:rPr>
        <w:t xml:space="preserve"> </w:t>
      </w:r>
      <w:r w:rsidR="00E02BF8">
        <w:rPr>
          <w:rFonts w:ascii="Times New Roman" w:hAnsi="Times New Roman"/>
        </w:rPr>
        <w:t>‘</w:t>
      </w:r>
      <w:r w:rsidRPr="00D535A0">
        <w:rPr>
          <w:rFonts w:ascii="Times New Roman" w:hAnsi="Times New Roman"/>
        </w:rPr>
        <w:t>Poverty, Unemployment and Development Policy: A Case Study of Selected I</w:t>
      </w:r>
      <w:r w:rsidR="00E02BF8">
        <w:rPr>
          <w:rFonts w:ascii="Times New Roman" w:hAnsi="Times New Roman"/>
        </w:rPr>
        <w:t xml:space="preserve">ssues with Reference to Kerala,’ </w:t>
      </w:r>
      <w:r w:rsidRPr="00D535A0">
        <w:rPr>
          <w:rFonts w:ascii="Times New Roman" w:hAnsi="Times New Roman"/>
        </w:rPr>
        <w:t>United Nations, New York.</w:t>
      </w:r>
    </w:p>
    <w:p w:rsidR="00D430C4" w:rsidRPr="00464961" w:rsidRDefault="00D430C4" w:rsidP="00E02BF8">
      <w:pPr>
        <w:spacing w:after="0" w:line="240" w:lineRule="auto"/>
        <w:ind w:left="720" w:hanging="720"/>
        <w:jc w:val="both"/>
        <w:rPr>
          <w:rFonts w:ascii="Times New Roman" w:hAnsi="Times New Roman"/>
        </w:rPr>
      </w:pPr>
      <w:r w:rsidRPr="00464961">
        <w:rPr>
          <w:rFonts w:ascii="Times New Roman" w:hAnsi="Times New Roman"/>
        </w:rPr>
        <w:t>Zachariah K.C,</w:t>
      </w:r>
      <w:r>
        <w:rPr>
          <w:rFonts w:ascii="Times New Roman" w:hAnsi="Times New Roman"/>
        </w:rPr>
        <w:t xml:space="preserve"> </w:t>
      </w:r>
      <w:proofErr w:type="spellStart"/>
      <w:r w:rsidRPr="00464961">
        <w:rPr>
          <w:rFonts w:ascii="Times New Roman" w:hAnsi="Times New Roman"/>
        </w:rPr>
        <w:t>S.Irudaya</w:t>
      </w:r>
      <w:proofErr w:type="spellEnd"/>
      <w:r>
        <w:rPr>
          <w:rFonts w:ascii="Times New Roman" w:hAnsi="Times New Roman"/>
        </w:rPr>
        <w:t xml:space="preserve"> </w:t>
      </w:r>
      <w:proofErr w:type="spellStart"/>
      <w:r w:rsidRPr="00464961">
        <w:rPr>
          <w:rFonts w:ascii="Times New Roman" w:hAnsi="Times New Roman"/>
        </w:rPr>
        <w:t>Rajan</w:t>
      </w:r>
      <w:proofErr w:type="spellEnd"/>
      <w:r>
        <w:rPr>
          <w:rFonts w:ascii="Times New Roman" w:hAnsi="Times New Roman"/>
        </w:rPr>
        <w:t xml:space="preserve">. </w:t>
      </w:r>
      <w:r w:rsidR="00E02BF8">
        <w:rPr>
          <w:rFonts w:ascii="Times New Roman" w:hAnsi="Times New Roman"/>
        </w:rPr>
        <w:t>(</w:t>
      </w:r>
      <w:r>
        <w:rPr>
          <w:rFonts w:ascii="Times New Roman" w:hAnsi="Times New Roman"/>
        </w:rPr>
        <w:t>2010</w:t>
      </w:r>
      <w:r w:rsidR="00E02BF8">
        <w:rPr>
          <w:rFonts w:ascii="Times New Roman" w:hAnsi="Times New Roman"/>
        </w:rPr>
        <w:t>):</w:t>
      </w:r>
      <w:r>
        <w:rPr>
          <w:rFonts w:ascii="Times New Roman" w:hAnsi="Times New Roman"/>
        </w:rPr>
        <w:t xml:space="preserve"> </w:t>
      </w:r>
      <w:r w:rsidR="00E02BF8">
        <w:rPr>
          <w:rFonts w:ascii="Times New Roman" w:hAnsi="Times New Roman"/>
        </w:rPr>
        <w:t>‘</w:t>
      </w:r>
      <w:r>
        <w:rPr>
          <w:rFonts w:ascii="Times New Roman" w:hAnsi="Times New Roman"/>
        </w:rPr>
        <w:t>M</w:t>
      </w:r>
      <w:r w:rsidRPr="00464961">
        <w:rPr>
          <w:rFonts w:ascii="Times New Roman" w:hAnsi="Times New Roman"/>
        </w:rPr>
        <w:t xml:space="preserve">igration monitoring study, 2008- Emigration and Remittances in the </w:t>
      </w:r>
      <w:r>
        <w:rPr>
          <w:rFonts w:ascii="Times New Roman" w:hAnsi="Times New Roman"/>
        </w:rPr>
        <w:t>context of surge in oil prices,</w:t>
      </w:r>
      <w:r w:rsidR="00E02BF8">
        <w:rPr>
          <w:rFonts w:ascii="Times New Roman" w:hAnsi="Times New Roman"/>
        </w:rPr>
        <w:t>’</w:t>
      </w:r>
      <w:r>
        <w:rPr>
          <w:rFonts w:ascii="Times New Roman" w:hAnsi="Times New Roman"/>
        </w:rPr>
        <w:t xml:space="preserve"> </w:t>
      </w:r>
      <w:proofErr w:type="gramStart"/>
      <w:r w:rsidRPr="00E02BF8">
        <w:rPr>
          <w:rFonts w:ascii="Times New Roman" w:hAnsi="Times New Roman"/>
          <w:i/>
        </w:rPr>
        <w:t>Working</w:t>
      </w:r>
      <w:proofErr w:type="gramEnd"/>
      <w:r w:rsidRPr="00E02BF8">
        <w:rPr>
          <w:rFonts w:ascii="Times New Roman" w:hAnsi="Times New Roman"/>
          <w:i/>
        </w:rPr>
        <w:t xml:space="preserve"> paper 424</w:t>
      </w:r>
      <w:r w:rsidRPr="00464961">
        <w:rPr>
          <w:rFonts w:ascii="Times New Roman" w:hAnsi="Times New Roman"/>
        </w:rPr>
        <w:t>,</w:t>
      </w:r>
      <w:r>
        <w:rPr>
          <w:rFonts w:ascii="Times New Roman" w:hAnsi="Times New Roman"/>
        </w:rPr>
        <w:t xml:space="preserve"> </w:t>
      </w:r>
      <w:r w:rsidRPr="00464961">
        <w:rPr>
          <w:rFonts w:ascii="Times New Roman" w:hAnsi="Times New Roman"/>
        </w:rPr>
        <w:t>Centre For Development studies Thiruvananthapuram.</w:t>
      </w:r>
    </w:p>
    <w:p w:rsidR="00D430C4" w:rsidRPr="00464961" w:rsidRDefault="00D430C4" w:rsidP="00E02BF8">
      <w:pPr>
        <w:spacing w:after="0" w:line="240" w:lineRule="auto"/>
        <w:ind w:left="720" w:hanging="720"/>
        <w:jc w:val="both"/>
        <w:rPr>
          <w:rFonts w:ascii="Times New Roman" w:hAnsi="Times New Roman"/>
        </w:rPr>
      </w:pPr>
      <w:proofErr w:type="gramStart"/>
      <w:r>
        <w:rPr>
          <w:rFonts w:ascii="Times New Roman" w:hAnsi="Times New Roman"/>
        </w:rPr>
        <w:t xml:space="preserve">Zachariah K.C and </w:t>
      </w:r>
      <w:proofErr w:type="spellStart"/>
      <w:r>
        <w:rPr>
          <w:rFonts w:ascii="Times New Roman" w:hAnsi="Times New Roman"/>
        </w:rPr>
        <w:t>S.Irudaya</w:t>
      </w:r>
      <w:proofErr w:type="spellEnd"/>
      <w:r>
        <w:rPr>
          <w:rFonts w:ascii="Times New Roman" w:hAnsi="Times New Roman"/>
        </w:rPr>
        <w:t xml:space="preserve"> </w:t>
      </w:r>
      <w:proofErr w:type="spellStart"/>
      <w:r>
        <w:rPr>
          <w:rFonts w:ascii="Times New Roman" w:hAnsi="Times New Roman"/>
        </w:rPr>
        <w:t>Rajan</w:t>
      </w:r>
      <w:proofErr w:type="spellEnd"/>
      <w:r>
        <w:rPr>
          <w:rFonts w:ascii="Times New Roman" w:hAnsi="Times New Roman"/>
        </w:rPr>
        <w:t>.</w:t>
      </w:r>
      <w:proofErr w:type="gramEnd"/>
      <w:r>
        <w:rPr>
          <w:rFonts w:ascii="Times New Roman" w:hAnsi="Times New Roman"/>
        </w:rPr>
        <w:t xml:space="preserve"> </w:t>
      </w:r>
      <w:r w:rsidR="00E02BF8">
        <w:rPr>
          <w:rFonts w:ascii="Times New Roman" w:hAnsi="Times New Roman"/>
        </w:rPr>
        <w:t>(2012):</w:t>
      </w:r>
      <w:r>
        <w:rPr>
          <w:rFonts w:ascii="Times New Roman" w:hAnsi="Times New Roman"/>
        </w:rPr>
        <w:t xml:space="preserve"> </w:t>
      </w:r>
      <w:r w:rsidR="00E02BF8">
        <w:rPr>
          <w:rFonts w:ascii="Times New Roman" w:hAnsi="Times New Roman"/>
        </w:rPr>
        <w:t>‘</w:t>
      </w:r>
      <w:r w:rsidRPr="00464961">
        <w:rPr>
          <w:rFonts w:ascii="Times New Roman" w:hAnsi="Times New Roman"/>
        </w:rPr>
        <w:t xml:space="preserve">Inflexion in Kerala’s gulf connection - Report on </w:t>
      </w:r>
      <w:proofErr w:type="spellStart"/>
      <w:r w:rsidRPr="00464961">
        <w:rPr>
          <w:rFonts w:ascii="Times New Roman" w:hAnsi="Times New Roman"/>
        </w:rPr>
        <w:t>kerala</w:t>
      </w:r>
      <w:proofErr w:type="spellEnd"/>
      <w:r w:rsidRPr="00464961">
        <w:rPr>
          <w:rFonts w:ascii="Times New Roman" w:hAnsi="Times New Roman"/>
        </w:rPr>
        <w:t xml:space="preserve"> migration survey 2011,</w:t>
      </w:r>
      <w:r w:rsidR="00E02BF8">
        <w:rPr>
          <w:rFonts w:ascii="Times New Roman" w:hAnsi="Times New Roman"/>
        </w:rPr>
        <w:t>’</w:t>
      </w:r>
      <w:r>
        <w:rPr>
          <w:rFonts w:ascii="Times New Roman" w:hAnsi="Times New Roman"/>
        </w:rPr>
        <w:t xml:space="preserve"> </w:t>
      </w:r>
      <w:r w:rsidRPr="00464961">
        <w:rPr>
          <w:rFonts w:ascii="Times New Roman" w:hAnsi="Times New Roman"/>
        </w:rPr>
        <w:t xml:space="preserve">Research </w:t>
      </w:r>
      <w:r w:rsidRPr="00E02BF8">
        <w:rPr>
          <w:rFonts w:ascii="Times New Roman" w:hAnsi="Times New Roman"/>
          <w:i/>
        </w:rPr>
        <w:t>unit on international migration,</w:t>
      </w:r>
      <w:r w:rsidR="00E02BF8">
        <w:rPr>
          <w:rFonts w:ascii="Times New Roman" w:hAnsi="Times New Roman"/>
        </w:rPr>
        <w:t xml:space="preserve"> </w:t>
      </w:r>
      <w:r w:rsidRPr="00464961">
        <w:rPr>
          <w:rFonts w:ascii="Times New Roman" w:hAnsi="Times New Roman"/>
        </w:rPr>
        <w:t xml:space="preserve">Centre </w:t>
      </w:r>
      <w:proofErr w:type="gramStart"/>
      <w:r w:rsidRPr="00464961">
        <w:rPr>
          <w:rFonts w:ascii="Times New Roman" w:hAnsi="Times New Roman"/>
        </w:rPr>
        <w:t>For</w:t>
      </w:r>
      <w:proofErr w:type="gramEnd"/>
      <w:r w:rsidRPr="00464961">
        <w:rPr>
          <w:rFonts w:ascii="Times New Roman" w:hAnsi="Times New Roman"/>
        </w:rPr>
        <w:t xml:space="preserve"> Development studies Thiruvananthapuram.</w:t>
      </w:r>
    </w:p>
    <w:p w:rsidR="00D430C4" w:rsidRPr="00E02BF8" w:rsidRDefault="00D430C4" w:rsidP="00E02BF8">
      <w:pPr>
        <w:spacing w:after="0" w:line="240" w:lineRule="auto"/>
        <w:ind w:left="720" w:hanging="720"/>
        <w:jc w:val="both"/>
        <w:rPr>
          <w:rFonts w:ascii="Times New Roman" w:hAnsi="Times New Roman"/>
          <w:i/>
        </w:rPr>
      </w:pPr>
      <w:proofErr w:type="spellStart"/>
      <w:r w:rsidRPr="00464961">
        <w:rPr>
          <w:rFonts w:ascii="Times New Roman" w:hAnsi="Times New Roman"/>
        </w:rPr>
        <w:t>Zosa</w:t>
      </w:r>
      <w:proofErr w:type="gramStart"/>
      <w:r w:rsidRPr="00464961">
        <w:rPr>
          <w:rFonts w:ascii="Times New Roman" w:hAnsi="Times New Roman"/>
        </w:rPr>
        <w:t>,Victorina</w:t>
      </w:r>
      <w:proofErr w:type="spellEnd"/>
      <w:proofErr w:type="gramEnd"/>
      <w:r w:rsidRPr="00464961">
        <w:rPr>
          <w:rFonts w:ascii="Times New Roman" w:hAnsi="Times New Roman"/>
        </w:rPr>
        <w:t xml:space="preserve">  and </w:t>
      </w:r>
      <w:proofErr w:type="spellStart"/>
      <w:r w:rsidRPr="00464961">
        <w:rPr>
          <w:rFonts w:ascii="Times New Roman" w:hAnsi="Times New Roman"/>
        </w:rPr>
        <w:t>Aniceto</w:t>
      </w:r>
      <w:proofErr w:type="spellEnd"/>
      <w:r>
        <w:rPr>
          <w:rFonts w:ascii="Times New Roman" w:hAnsi="Times New Roman"/>
        </w:rPr>
        <w:t xml:space="preserve"> </w:t>
      </w:r>
      <w:proofErr w:type="spellStart"/>
      <w:r w:rsidRPr="00464961">
        <w:rPr>
          <w:rFonts w:ascii="Times New Roman" w:hAnsi="Times New Roman"/>
        </w:rPr>
        <w:t>Orbeta,</w:t>
      </w:r>
      <w:r w:rsidR="00E02BF8">
        <w:rPr>
          <w:rFonts w:ascii="Times New Roman" w:hAnsi="Times New Roman"/>
        </w:rPr>
        <w:t>Jr</w:t>
      </w:r>
      <w:proofErr w:type="spellEnd"/>
      <w:r w:rsidR="00E02BF8">
        <w:rPr>
          <w:rFonts w:ascii="Times New Roman" w:hAnsi="Times New Roman"/>
        </w:rPr>
        <w:t>. (2009):</w:t>
      </w:r>
      <w:r>
        <w:rPr>
          <w:rFonts w:ascii="Times New Roman" w:hAnsi="Times New Roman"/>
        </w:rPr>
        <w:t xml:space="preserve"> </w:t>
      </w:r>
      <w:r w:rsidR="00E02BF8">
        <w:rPr>
          <w:rFonts w:ascii="Times New Roman" w:hAnsi="Times New Roman"/>
        </w:rPr>
        <w:t>‘</w:t>
      </w:r>
      <w:r w:rsidRPr="00464961">
        <w:rPr>
          <w:rFonts w:ascii="Times New Roman" w:hAnsi="Times New Roman"/>
        </w:rPr>
        <w:t xml:space="preserve">The Social and Economic Impact of Philippine International </w:t>
      </w:r>
      <w:proofErr w:type="spellStart"/>
      <w:r w:rsidRPr="00464961">
        <w:rPr>
          <w:rFonts w:ascii="Times New Roman" w:hAnsi="Times New Roman"/>
        </w:rPr>
        <w:t>Labor</w:t>
      </w:r>
      <w:proofErr w:type="spellEnd"/>
      <w:r w:rsidRPr="00464961">
        <w:rPr>
          <w:rFonts w:ascii="Times New Roman" w:hAnsi="Times New Roman"/>
        </w:rPr>
        <w:t xml:space="preserve"> Migration and Remittances,</w:t>
      </w:r>
      <w:r>
        <w:rPr>
          <w:rFonts w:ascii="Times New Roman" w:hAnsi="Times New Roman"/>
        </w:rPr>
        <w:t xml:space="preserve"> </w:t>
      </w:r>
      <w:r w:rsidRPr="00464961">
        <w:rPr>
          <w:rFonts w:ascii="Times New Roman" w:hAnsi="Times New Roman"/>
        </w:rPr>
        <w:t>Philippine Institute for Development Studies,</w:t>
      </w:r>
      <w:r w:rsidR="00E02BF8">
        <w:rPr>
          <w:rFonts w:ascii="Times New Roman" w:hAnsi="Times New Roman"/>
        </w:rPr>
        <w:t>’</w:t>
      </w:r>
      <w:r>
        <w:rPr>
          <w:rFonts w:ascii="Times New Roman" w:hAnsi="Times New Roman"/>
        </w:rPr>
        <w:t xml:space="preserve"> </w:t>
      </w:r>
      <w:r w:rsidRPr="00E02BF8">
        <w:rPr>
          <w:rFonts w:ascii="Times New Roman" w:hAnsi="Times New Roman"/>
          <w:i/>
        </w:rPr>
        <w:t>Discussion paper series no. 2009-32</w:t>
      </w:r>
    </w:p>
    <w:p w:rsidR="00D430C4" w:rsidRDefault="00D430C4" w:rsidP="00D430C4"/>
    <w:p w:rsidR="000E4885" w:rsidRPr="0089232C" w:rsidRDefault="000E4885" w:rsidP="00D430C4">
      <w:pPr>
        <w:spacing w:after="0" w:line="360" w:lineRule="auto"/>
        <w:jc w:val="both"/>
        <w:rPr>
          <w:rFonts w:ascii="Times New Roman" w:hAnsi="Times New Roman"/>
        </w:rPr>
      </w:pPr>
    </w:p>
    <w:sectPr w:rsidR="000E4885" w:rsidRPr="0089232C" w:rsidSect="000261E5">
      <w:headerReference w:type="even" r:id="rId17"/>
      <w:headerReference w:type="default" r:id="rId18"/>
      <w:footerReference w:type="even" r:id="rId19"/>
      <w:footerReference w:type="default" r:id="rId20"/>
      <w:headerReference w:type="first" r:id="rId21"/>
      <w:footerReference w:type="first" r:id="rId22"/>
      <w:pgSz w:w="10080" w:h="13680" w:code="9"/>
      <w:pgMar w:top="1440" w:right="144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66" w:rsidRDefault="00E16966" w:rsidP="00470FC8">
      <w:pPr>
        <w:spacing w:after="0" w:line="240" w:lineRule="auto"/>
      </w:pPr>
      <w:r>
        <w:separator/>
      </w:r>
    </w:p>
  </w:endnote>
  <w:endnote w:type="continuationSeparator" w:id="0">
    <w:p w:rsidR="00E16966" w:rsidRDefault="00E16966"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B26746">
      <w:trPr>
        <w:trHeight w:val="360"/>
      </w:trPr>
      <w:tc>
        <w:tcPr>
          <w:tcW w:w="1500" w:type="pct"/>
          <w:shd w:val="clear" w:color="auto" w:fill="8064A2" w:themeFill="accent4"/>
        </w:tcPr>
        <w:p w:rsidR="00B26746" w:rsidRDefault="00B26746">
          <w:pPr>
            <w:pStyle w:val="Footer"/>
            <w:rPr>
              <w:color w:val="FFFFFF" w:themeColor="background1"/>
            </w:rPr>
          </w:pPr>
          <w:r>
            <w:fldChar w:fldCharType="begin"/>
          </w:r>
          <w:r>
            <w:instrText xml:space="preserve"> PAGE   \* MERGEFORMAT </w:instrText>
          </w:r>
          <w:r>
            <w:fldChar w:fldCharType="separate"/>
          </w:r>
          <w:r w:rsidR="002C3BE2" w:rsidRPr="002C3BE2">
            <w:rPr>
              <w:noProof/>
              <w:color w:val="FFFFFF" w:themeColor="background1"/>
            </w:rPr>
            <w:t>72</w:t>
          </w:r>
          <w:r>
            <w:rPr>
              <w:noProof/>
              <w:color w:val="FFFFFF" w:themeColor="background1"/>
            </w:rPr>
            <w:fldChar w:fldCharType="end"/>
          </w:r>
        </w:p>
      </w:tc>
      <w:tc>
        <w:tcPr>
          <w:tcW w:w="3500" w:type="pct"/>
        </w:tcPr>
        <w:p w:rsidR="00B26746" w:rsidRDefault="00B26746">
          <w:pPr>
            <w:pStyle w:val="Footer"/>
          </w:pPr>
        </w:p>
      </w:tc>
    </w:tr>
  </w:tbl>
  <w:p w:rsidR="007F3C67" w:rsidRDefault="007F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A40077">
      <w:trPr>
        <w:trHeight w:val="360"/>
      </w:trPr>
      <w:tc>
        <w:tcPr>
          <w:tcW w:w="3500" w:type="pct"/>
        </w:tcPr>
        <w:p w:rsidR="00A40077" w:rsidRDefault="00A40077">
          <w:pPr>
            <w:pStyle w:val="Footer"/>
            <w:jc w:val="right"/>
          </w:pPr>
        </w:p>
      </w:tc>
      <w:tc>
        <w:tcPr>
          <w:tcW w:w="1500" w:type="pct"/>
          <w:shd w:val="clear" w:color="auto" w:fill="8064A2" w:themeFill="accent4"/>
        </w:tcPr>
        <w:p w:rsidR="00A40077" w:rsidRDefault="00A40077">
          <w:pPr>
            <w:pStyle w:val="Footer"/>
            <w:jc w:val="right"/>
            <w:rPr>
              <w:color w:val="FFFFFF" w:themeColor="background1"/>
            </w:rPr>
          </w:pPr>
          <w:r>
            <w:fldChar w:fldCharType="begin"/>
          </w:r>
          <w:r>
            <w:instrText xml:space="preserve"> PAGE    \* MERGEFORMAT </w:instrText>
          </w:r>
          <w:r>
            <w:fldChar w:fldCharType="separate"/>
          </w:r>
          <w:r w:rsidR="002C3BE2" w:rsidRPr="002C3BE2">
            <w:rPr>
              <w:noProof/>
              <w:color w:val="FFFFFF" w:themeColor="background1"/>
            </w:rPr>
            <w:t>71</w:t>
          </w:r>
          <w:r>
            <w:rPr>
              <w:noProof/>
              <w:color w:val="FFFFFF" w:themeColor="background1"/>
            </w:rPr>
            <w:fldChar w:fldCharType="end"/>
          </w:r>
        </w:p>
      </w:tc>
    </w:tr>
  </w:tbl>
  <w:p w:rsidR="007F3C67" w:rsidRDefault="007F3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B26746">
      <w:trPr>
        <w:trHeight w:val="360"/>
      </w:trPr>
      <w:tc>
        <w:tcPr>
          <w:tcW w:w="3500" w:type="pct"/>
        </w:tcPr>
        <w:p w:rsidR="00B26746" w:rsidRDefault="00B26746">
          <w:pPr>
            <w:pStyle w:val="Footer"/>
            <w:jc w:val="right"/>
          </w:pPr>
        </w:p>
      </w:tc>
      <w:tc>
        <w:tcPr>
          <w:tcW w:w="1500" w:type="pct"/>
          <w:shd w:val="clear" w:color="auto" w:fill="8064A2" w:themeFill="accent4"/>
        </w:tcPr>
        <w:p w:rsidR="00B26746" w:rsidRDefault="00B26746">
          <w:pPr>
            <w:pStyle w:val="Footer"/>
            <w:jc w:val="right"/>
            <w:rPr>
              <w:color w:val="FFFFFF" w:themeColor="background1"/>
            </w:rPr>
          </w:pPr>
          <w:r>
            <w:fldChar w:fldCharType="begin"/>
          </w:r>
          <w:r>
            <w:instrText xml:space="preserve"> PAGE    \* MERGEFORMAT </w:instrText>
          </w:r>
          <w:r>
            <w:fldChar w:fldCharType="separate"/>
          </w:r>
          <w:r w:rsidR="002C3BE2" w:rsidRPr="002C3BE2">
            <w:rPr>
              <w:noProof/>
              <w:color w:val="FFFFFF" w:themeColor="background1"/>
            </w:rPr>
            <w:t>49</w:t>
          </w:r>
          <w:r>
            <w:rPr>
              <w:noProof/>
              <w:color w:val="FFFFFF" w:themeColor="background1"/>
            </w:rPr>
            <w:fldChar w:fldCharType="end"/>
          </w:r>
        </w:p>
      </w:tc>
    </w:tr>
  </w:tbl>
  <w:p w:rsidR="007F3C67" w:rsidRDefault="007F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66" w:rsidRDefault="00E16966" w:rsidP="00470FC8">
      <w:pPr>
        <w:spacing w:after="0" w:line="240" w:lineRule="auto"/>
      </w:pPr>
      <w:r>
        <w:separator/>
      </w:r>
    </w:p>
  </w:footnote>
  <w:footnote w:type="continuationSeparator" w:id="0">
    <w:p w:rsidR="00E16966" w:rsidRDefault="00E16966"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B26746" w:rsidRDefault="00B26746" w:rsidP="00B26746">
    <w:pPr>
      <w:pStyle w:val="Header"/>
      <w:rPr>
        <w:i/>
      </w:rPr>
    </w:pPr>
    <w:r w:rsidRPr="00B26746">
      <w:rPr>
        <w:i/>
      </w:rPr>
      <w:t xml:space="preserve">Prof. </w:t>
    </w:r>
    <w:proofErr w:type="spellStart"/>
    <w:r w:rsidRPr="00B26746">
      <w:rPr>
        <w:i/>
      </w:rPr>
      <w:t>Raju</w:t>
    </w:r>
    <w:proofErr w:type="spellEnd"/>
    <w:r w:rsidRPr="00B26746">
      <w:rPr>
        <w:i/>
      </w:rPr>
      <w:t xml:space="preserve"> John</w:t>
    </w:r>
    <w:r w:rsidRPr="00B26746">
      <w:rPr>
        <w:i/>
      </w:rPr>
      <w:ptab w:relativeTo="margin" w:alignment="center" w:leader="none"/>
    </w:r>
    <w:r w:rsidRPr="00B26746">
      <w:rPr>
        <w:i/>
      </w:rPr>
      <w:ptab w:relativeTo="margin" w:alignment="right" w:leader="none"/>
    </w:r>
    <w:r w:rsidRPr="00B26746">
      <w:rPr>
        <w:i/>
      </w:rPr>
      <w:t xml:space="preserve"> Kerala’s Inequality...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Default="00B26746">
    <w:pPr>
      <w:pStyle w:val="Header"/>
    </w:pPr>
    <w:r w:rsidRPr="00B26746">
      <w:rPr>
        <w:i/>
      </w:rPr>
      <w:t>The Pauline Journal of Social Science</w:t>
    </w:r>
    <w:r w:rsidRPr="00B26746">
      <w:rPr>
        <w:i/>
      </w:rPr>
      <w:ptab w:relativeTo="margin" w:alignment="right" w:leader="none"/>
    </w:r>
    <w:r w:rsidRPr="00B26746">
      <w:rPr>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4821E6" w:rsidRDefault="00B26746" w:rsidP="00B26746">
    <w:pPr>
      <w:pStyle w:val="Header"/>
      <w:rPr>
        <w:rFonts w:ascii="Times New Roman" w:hAnsi="Times New Roman" w:cs="Times New Roman"/>
      </w:rPr>
    </w:pPr>
    <w:r w:rsidRPr="00B26746">
      <w:rPr>
        <w:rFonts w:ascii="Times New Roman" w:hAnsi="Times New Roman" w:cs="Times New Roman"/>
        <w:i/>
      </w:rPr>
      <w:t>The Pauline Journal of Social Science</w:t>
    </w:r>
    <w:r w:rsidRPr="00B26746">
      <w:rPr>
        <w:rFonts w:ascii="Times New Roman" w:hAnsi="Times New Roman" w:cs="Times New Roman"/>
      </w:rPr>
      <w:ptab w:relativeTo="margin" w:alignment="right" w:leader="none"/>
    </w:r>
    <w:r w:rsidRPr="00B26746">
      <w:rPr>
        <w:rFonts w:ascii="Times New Roman" w:hAnsi="Times New Roman"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2">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3">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4">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5C"/>
    <w:rsid w:val="000261E5"/>
    <w:rsid w:val="00027409"/>
    <w:rsid w:val="00074FCA"/>
    <w:rsid w:val="00084A92"/>
    <w:rsid w:val="00094AE1"/>
    <w:rsid w:val="000C6812"/>
    <w:rsid w:val="000D10E3"/>
    <w:rsid w:val="000E4885"/>
    <w:rsid w:val="000F3E16"/>
    <w:rsid w:val="00127505"/>
    <w:rsid w:val="00147F35"/>
    <w:rsid w:val="001653F2"/>
    <w:rsid w:val="0016766B"/>
    <w:rsid w:val="001A5151"/>
    <w:rsid w:val="001E621D"/>
    <w:rsid w:val="00223E8B"/>
    <w:rsid w:val="0023527E"/>
    <w:rsid w:val="00244421"/>
    <w:rsid w:val="00273A53"/>
    <w:rsid w:val="00281BF6"/>
    <w:rsid w:val="002911D2"/>
    <w:rsid w:val="002B5AB5"/>
    <w:rsid w:val="002C3BE2"/>
    <w:rsid w:val="002C5822"/>
    <w:rsid w:val="002D500A"/>
    <w:rsid w:val="003040F8"/>
    <w:rsid w:val="00330221"/>
    <w:rsid w:val="00332378"/>
    <w:rsid w:val="00334377"/>
    <w:rsid w:val="003B0671"/>
    <w:rsid w:val="003D7D8C"/>
    <w:rsid w:val="003F4C1F"/>
    <w:rsid w:val="00405AEA"/>
    <w:rsid w:val="00431827"/>
    <w:rsid w:val="0044636F"/>
    <w:rsid w:val="004511AB"/>
    <w:rsid w:val="00462194"/>
    <w:rsid w:val="00470FC8"/>
    <w:rsid w:val="004821E6"/>
    <w:rsid w:val="00482DDB"/>
    <w:rsid w:val="004A7140"/>
    <w:rsid w:val="004C40C4"/>
    <w:rsid w:val="004C7F44"/>
    <w:rsid w:val="004E288C"/>
    <w:rsid w:val="004E73E8"/>
    <w:rsid w:val="00500964"/>
    <w:rsid w:val="00532D85"/>
    <w:rsid w:val="00542884"/>
    <w:rsid w:val="00553AD3"/>
    <w:rsid w:val="005A06C5"/>
    <w:rsid w:val="005A1704"/>
    <w:rsid w:val="005B1567"/>
    <w:rsid w:val="005C4E67"/>
    <w:rsid w:val="005D4AC5"/>
    <w:rsid w:val="00601135"/>
    <w:rsid w:val="00603486"/>
    <w:rsid w:val="0064493E"/>
    <w:rsid w:val="006475F4"/>
    <w:rsid w:val="00676698"/>
    <w:rsid w:val="00693246"/>
    <w:rsid w:val="00725CEB"/>
    <w:rsid w:val="00744ECF"/>
    <w:rsid w:val="00785F04"/>
    <w:rsid w:val="007934F8"/>
    <w:rsid w:val="00795A9A"/>
    <w:rsid w:val="007B0BF2"/>
    <w:rsid w:val="007F3C67"/>
    <w:rsid w:val="0081417D"/>
    <w:rsid w:val="00817421"/>
    <w:rsid w:val="00823E0C"/>
    <w:rsid w:val="00861F39"/>
    <w:rsid w:val="00863969"/>
    <w:rsid w:val="00867A12"/>
    <w:rsid w:val="0089232C"/>
    <w:rsid w:val="008B6BA8"/>
    <w:rsid w:val="008C04CA"/>
    <w:rsid w:val="008D1670"/>
    <w:rsid w:val="00914B09"/>
    <w:rsid w:val="009A4EA0"/>
    <w:rsid w:val="00A13FF0"/>
    <w:rsid w:val="00A343F4"/>
    <w:rsid w:val="00A40077"/>
    <w:rsid w:val="00A524A4"/>
    <w:rsid w:val="00A553CC"/>
    <w:rsid w:val="00A61480"/>
    <w:rsid w:val="00A75E0C"/>
    <w:rsid w:val="00A9555E"/>
    <w:rsid w:val="00AC0920"/>
    <w:rsid w:val="00AF31C3"/>
    <w:rsid w:val="00B0528A"/>
    <w:rsid w:val="00B06BB8"/>
    <w:rsid w:val="00B26746"/>
    <w:rsid w:val="00B27C84"/>
    <w:rsid w:val="00B5216A"/>
    <w:rsid w:val="00B556FF"/>
    <w:rsid w:val="00B86489"/>
    <w:rsid w:val="00BA1774"/>
    <w:rsid w:val="00BA48D3"/>
    <w:rsid w:val="00BD6DB1"/>
    <w:rsid w:val="00C059D7"/>
    <w:rsid w:val="00C13ABA"/>
    <w:rsid w:val="00C32DF6"/>
    <w:rsid w:val="00C6615F"/>
    <w:rsid w:val="00C76CE6"/>
    <w:rsid w:val="00C82E66"/>
    <w:rsid w:val="00CE5C22"/>
    <w:rsid w:val="00D31C7F"/>
    <w:rsid w:val="00D31E63"/>
    <w:rsid w:val="00D430C4"/>
    <w:rsid w:val="00D445BF"/>
    <w:rsid w:val="00D52673"/>
    <w:rsid w:val="00D677D7"/>
    <w:rsid w:val="00DB2CF0"/>
    <w:rsid w:val="00DB51BA"/>
    <w:rsid w:val="00DC7D6C"/>
    <w:rsid w:val="00DE0FE3"/>
    <w:rsid w:val="00DF7626"/>
    <w:rsid w:val="00E02BF8"/>
    <w:rsid w:val="00E11E1E"/>
    <w:rsid w:val="00E16966"/>
    <w:rsid w:val="00E54E13"/>
    <w:rsid w:val="00E645FA"/>
    <w:rsid w:val="00EB5A70"/>
    <w:rsid w:val="00ED313E"/>
    <w:rsid w:val="00ED386D"/>
    <w:rsid w:val="00ED6252"/>
    <w:rsid w:val="00EF58BD"/>
    <w:rsid w:val="00F039EC"/>
    <w:rsid w:val="00F03E0B"/>
    <w:rsid w:val="00F11132"/>
    <w:rsid w:val="00F41570"/>
    <w:rsid w:val="00F6096E"/>
    <w:rsid w:val="00F8405C"/>
    <w:rsid w:val="00F934EA"/>
    <w:rsid w:val="00FC24B6"/>
    <w:rsid w:val="00FD3AB6"/>
    <w:rsid w:val="00FD4244"/>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styleId="Emphasis">
    <w:name w:val="Emphasis"/>
    <w:basedOn w:val="DefaultParagraphFont"/>
    <w:qFormat/>
    <w:rsid w:val="00D430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EC39D-6E09-4D8A-8013-49DCA4F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15</cp:revision>
  <cp:lastPrinted>2015-06-07T18:38:00Z</cp:lastPrinted>
  <dcterms:created xsi:type="dcterms:W3CDTF">2015-04-03T04:41:00Z</dcterms:created>
  <dcterms:modified xsi:type="dcterms:W3CDTF">2015-06-07T18:41:00Z</dcterms:modified>
</cp:coreProperties>
</file>